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B94F4" w14:textId="24380A65" w:rsidR="00EA188B" w:rsidRPr="00EA188B" w:rsidRDefault="00EA188B" w:rsidP="00EA188B">
      <w:pPr>
        <w:widowControl/>
        <w:spacing w:line="675" w:lineRule="atLeast"/>
        <w:jc w:val="center"/>
        <w:rPr>
          <w:rFonts w:asciiTheme="majorEastAsia" w:eastAsiaTheme="majorEastAsia" w:hAnsiTheme="majorEastAsia" w:cs="宋体"/>
          <w:b/>
          <w:bCs/>
          <w:color w:val="000000" w:themeColor="text1"/>
          <w:kern w:val="0"/>
          <w:sz w:val="32"/>
          <w:szCs w:val="32"/>
        </w:rPr>
      </w:pPr>
      <w:r w:rsidRPr="00EA188B">
        <w:rPr>
          <w:b/>
          <w:bCs/>
          <w:color w:val="000000" w:themeColor="text1"/>
          <w:kern w:val="0"/>
          <w:sz w:val="32"/>
          <w:szCs w:val="32"/>
          <w:lang w:val="en"/>
        </w:rPr>
        <w:t>Opinions of the Jiangsu Provincial Government on Promoting the Reform and Development of the Construction Industry</w:t>
      </w:r>
    </w:p>
    <w:p w14:paraId="29BE15E8" w14:textId="77777777" w:rsidR="00EA188B" w:rsidRPr="00EA188B" w:rsidRDefault="00EA188B" w:rsidP="00EA188B">
      <w:pPr>
        <w:widowControl/>
        <w:spacing w:before="100" w:beforeAutospacing="1" w:after="100" w:afterAutospacing="1" w:line="450" w:lineRule="atLeast"/>
        <w:jc w:val="center"/>
        <w:rPr>
          <w:rFonts w:asciiTheme="minorEastAsia" w:hAnsiTheme="minorEastAsia" w:cs="宋体"/>
          <w:color w:val="484848"/>
          <w:kern w:val="0"/>
          <w:sz w:val="28"/>
          <w:szCs w:val="28"/>
        </w:rPr>
      </w:pPr>
      <w:r w:rsidRPr="00EA188B">
        <w:rPr>
          <w:snapToGrid w:val="0"/>
          <w:color w:val="000000"/>
          <w:sz w:val="28"/>
          <w:szCs w:val="28"/>
          <w:lang w:val="en"/>
        </w:rPr>
        <w:t xml:space="preserve">Su Zhengfa [2017] </w:t>
      </w:r>
      <w:r>
        <w:rPr>
          <w:snapToGrid w:val="0"/>
          <w:color w:val="000000"/>
          <w:sz w:val="28"/>
          <w:szCs w:val="28"/>
          <w:lang w:val="en"/>
        </w:rPr>
        <w:t>No</w:t>
      </w:r>
      <w:r>
        <w:rPr>
          <w:lang w:val="en"/>
        </w:rPr>
        <w:t>. 151</w:t>
      </w:r>
    </w:p>
    <w:p w14:paraId="7C5B20C5" w14:textId="77777777" w:rsidR="00EA188B" w:rsidRPr="00EA188B" w:rsidRDefault="00EA188B" w:rsidP="00EA188B">
      <w:pPr>
        <w:widowControl/>
        <w:spacing w:before="100" w:beforeAutospacing="1" w:after="100" w:afterAutospacing="1" w:line="450" w:lineRule="atLeast"/>
        <w:ind w:left="870"/>
        <w:jc w:val="left"/>
        <w:rPr>
          <w:rFonts w:asciiTheme="minorEastAsia" w:hAnsiTheme="minorEastAsia" w:cs="宋体"/>
          <w:color w:val="484848"/>
          <w:kern w:val="0"/>
          <w:sz w:val="28"/>
          <w:szCs w:val="28"/>
        </w:rPr>
      </w:pPr>
      <w:r w:rsidRPr="00EA188B">
        <w:rPr>
          <w:color w:val="484848"/>
          <w:kern w:val="0"/>
          <w:sz w:val="28"/>
          <w:szCs w:val="28"/>
          <w:lang w:val="en"/>
        </w:rPr>
        <w:t>The people's governments of cities and counties (cities and districts), the provincial committees, offices, and bureaus, and the units directly under the province:</w:t>
      </w:r>
    </w:p>
    <w:p w14:paraId="4F052E4F" w14:textId="77777777" w:rsidR="00EA188B" w:rsidRPr="00EA188B" w:rsidRDefault="00EA188B" w:rsidP="00EA188B">
      <w:pPr>
        <w:widowControl/>
        <w:spacing w:before="100" w:beforeAutospacing="1" w:after="100" w:afterAutospacing="1" w:line="450" w:lineRule="atLeast"/>
        <w:ind w:left="870"/>
        <w:jc w:val="left"/>
        <w:rPr>
          <w:rFonts w:asciiTheme="minorEastAsia" w:hAnsiTheme="minorEastAsia" w:cs="宋体"/>
          <w:color w:val="484848"/>
          <w:kern w:val="0"/>
          <w:sz w:val="28"/>
          <w:szCs w:val="28"/>
        </w:rPr>
      </w:pPr>
      <w:r w:rsidRPr="00EA188B">
        <w:rPr>
          <w:color w:val="484848"/>
          <w:kern w:val="0"/>
          <w:sz w:val="28"/>
          <w:szCs w:val="28"/>
          <w:lang w:val="en"/>
        </w:rPr>
        <w:t xml:space="preserve">    The construction industry is the pillar industry, advantageous industry and enrichment industry of our province. After years of rapid development, the comprehensive strength of the construction industry in our province has been continuously enhanced, the industrial scale has been expanding, the business environment has been continuously optimized, and various indicators have ranked in the forefront of the country. However, it should also be noted that the industrial structure of the construction industry in our province is not reasonable enough, the new construction methods need to be popularized, the engineering construction organization methods are relatively backward, the quality and safety level of the project needs to be improved urgently, and the management system and mechanism are not compatible. At present and for a period in the future, the reform and development of the construction industry in our province should adhere to the guidance of Xi Jinping Thought on Socialism with Chinese Characteristics for a New Era, implement the spirit of the 19th National Congress of the Party, firmly </w:t>
      </w:r>
      <w:r w:rsidRPr="00EA188B">
        <w:rPr>
          <w:color w:val="484848"/>
          <w:kern w:val="0"/>
          <w:sz w:val="28"/>
          <w:szCs w:val="28"/>
          <w:lang w:val="en"/>
        </w:rPr>
        <w:lastRenderedPageBreak/>
        <w:t>establish and consciously practice the new development concept, deepen the reform of "decentralization and management service" in the construction industry, promote the accelerated development of prefabricated buildings, green buildings, smart buildings, and fully furnished finished housing, improve the level of project quality and safety, improve the regulatory system and mechanism, cultivate advantageous backbone enterprises, and enhance the gold content and influence of the "Jiangsu Construction" brand for construction "Strong, rich and high" new Jiangsu provides strong support. In accordance with the spirit of the Opinions of the General Office of the State Council on Promoting the Sustainable and Healthy Development of the Construction Industry (Guo Ban Fa [2017] No. 19), in accordance with the requirements of the Ministry of Housing and Urban-Rural Development on the comprehensive pilot reform of the construction industry in our province, the following opinions are hereby proposed.</w:t>
      </w:r>
    </w:p>
    <w:p w14:paraId="14CE7993" w14:textId="77777777" w:rsidR="00EA188B" w:rsidRPr="00EA188B" w:rsidRDefault="00EA188B" w:rsidP="00EA188B">
      <w:pPr>
        <w:widowControl/>
        <w:spacing w:before="100" w:beforeAutospacing="1" w:after="100" w:afterAutospacing="1" w:line="450" w:lineRule="atLeast"/>
        <w:ind w:left="870"/>
        <w:jc w:val="left"/>
        <w:rPr>
          <w:rFonts w:asciiTheme="minorEastAsia" w:hAnsiTheme="minorEastAsia" w:cs="宋体"/>
          <w:color w:val="484848"/>
          <w:kern w:val="0"/>
          <w:sz w:val="28"/>
          <w:szCs w:val="28"/>
        </w:rPr>
      </w:pPr>
      <w:r w:rsidRPr="00EA188B">
        <w:rPr>
          <w:color w:val="484848"/>
          <w:kern w:val="0"/>
          <w:sz w:val="28"/>
          <w:szCs w:val="28"/>
          <w:lang w:val="en"/>
        </w:rPr>
        <w:t>First, improve the management of enterprise qualifications and qualifications</w:t>
      </w:r>
    </w:p>
    <w:p w14:paraId="501AACF5" w14:textId="77777777" w:rsidR="00EA188B" w:rsidRPr="00EA188B" w:rsidRDefault="00EA188B" w:rsidP="00EA188B">
      <w:pPr>
        <w:widowControl/>
        <w:spacing w:before="100" w:beforeAutospacing="1" w:after="100" w:afterAutospacing="1" w:line="450" w:lineRule="atLeast"/>
        <w:ind w:left="870"/>
        <w:jc w:val="left"/>
        <w:rPr>
          <w:rFonts w:asciiTheme="minorEastAsia" w:hAnsiTheme="minorEastAsia" w:cs="宋体"/>
          <w:color w:val="484848"/>
          <w:kern w:val="0"/>
          <w:sz w:val="28"/>
          <w:szCs w:val="28"/>
        </w:rPr>
      </w:pPr>
      <w:r w:rsidRPr="00EA188B">
        <w:rPr>
          <w:color w:val="484848"/>
          <w:kern w:val="0"/>
          <w:sz w:val="28"/>
          <w:szCs w:val="28"/>
          <w:lang w:val="en"/>
        </w:rPr>
        <w:t xml:space="preserve">    Simplify the qualification categories and levels of engineering construction enterprises, and reduce unnecessary qualification identification. Trial adjustment of construction general contracting level 2 and below qualifications and professional contracting qualification standards. Abolish the qualifications of labor service enterprises and implement a filing management system for professional operation enterprises. When an enterprise with one of the qualifications of construction project supervision, cost consulting and bidding agency applies for the other two Grade B and below qualifications, it only needs to meet the requirements of the number of national registered personnel. The newly established construction enterprise qualification certificate and the safety production license certificate are applied for and approved at the same time. Expand the scope of undertaking business, for enterprises with good reputation, relevant professional and technical capabilities, and can provide full guarantees, they are allowed to undertake business corresponding to higher-level qualifications within the qualification category; first-level or above construction general contracting enterprises with one of the qualifications of municipal public utilities, highways, water conservancy and hydropower, ports and waterways, which can provide full guarantees and the project leader has corresponding performance, can undertake the other three other businesses corresponding to the same level of qualifications across majors. Enterprises that have obtained the qualification for general contracting of construction may undertake professional contracting projects within the scope of the general contracting qualification. Strengthen the construction of supporting systems that are compatible with the reform of qualification and qualification management, and strengthen supervision during and after the event. Establish an individual practice insurance system, encourage architects, supervising engineers, cost engineers and other practicing registered personnel to establish practice firms to undertake business in an individual or partnership manner, and bear corresponding rights and responsibilities in accordance with law.</w:t>
      </w:r>
    </w:p>
    <w:p w14:paraId="2A6A0175" w14:textId="77777777" w:rsidR="00EA188B" w:rsidRPr="00EA188B" w:rsidRDefault="00EA188B" w:rsidP="00EA188B">
      <w:pPr>
        <w:widowControl/>
        <w:spacing w:before="100" w:beforeAutospacing="1" w:after="100" w:afterAutospacing="1" w:line="450" w:lineRule="atLeast"/>
        <w:ind w:left="870"/>
        <w:jc w:val="left"/>
        <w:rPr>
          <w:rFonts w:asciiTheme="minorEastAsia" w:hAnsiTheme="minorEastAsia" w:cs="宋体"/>
          <w:color w:val="484848"/>
          <w:kern w:val="0"/>
          <w:sz w:val="28"/>
          <w:szCs w:val="28"/>
        </w:rPr>
      </w:pPr>
      <w:r w:rsidRPr="00EA188B">
        <w:rPr>
          <w:color w:val="484848"/>
          <w:kern w:val="0"/>
          <w:sz w:val="28"/>
          <w:szCs w:val="28"/>
          <w:lang w:val="en"/>
        </w:rPr>
        <w:t>Second, optimize the structure of the construction industry</w:t>
      </w:r>
    </w:p>
    <w:p w14:paraId="3FC69FCC" w14:textId="77777777" w:rsidR="00EA188B" w:rsidRPr="00EA188B" w:rsidRDefault="00EA188B" w:rsidP="00EA188B">
      <w:pPr>
        <w:widowControl/>
        <w:spacing w:before="100" w:beforeAutospacing="1" w:after="100" w:afterAutospacing="1" w:line="450" w:lineRule="atLeast"/>
        <w:ind w:left="870"/>
        <w:jc w:val="left"/>
        <w:rPr>
          <w:rFonts w:asciiTheme="minorEastAsia" w:hAnsiTheme="minorEastAsia" w:cs="宋体"/>
          <w:color w:val="484848"/>
          <w:kern w:val="0"/>
          <w:sz w:val="28"/>
          <w:szCs w:val="28"/>
        </w:rPr>
      </w:pPr>
      <w:r w:rsidRPr="00EA188B">
        <w:rPr>
          <w:color w:val="484848"/>
          <w:kern w:val="0"/>
          <w:sz w:val="28"/>
          <w:szCs w:val="28"/>
          <w:lang w:val="en"/>
        </w:rPr>
        <w:t xml:space="preserve">    Vigorously support high-level qualified enterprises to become bigger and stronger, focusing on cultivating a number of municipal public utilities, highways, water conservancy and hydropower, ports and waterway projects and other special qualification enterprises; support large enterprises to cross-regional and cross-industry mergers and acquisitions, and cultivate a number of well-known enterprises with more core competitiveness and brand influence. Encourage small and medium-sized enterprises to take the road of professional and refined development, and cultivate a number of professional enterprises with obvious operating characteristics, high scientific and technological content, and broad market prospects. To change the market structure of construction enterprises in our province based on housing construction, support construction enterprises to enter the infrastructure field, local governments should clarify a certain number of major infrastructure construction projects and bidding sections in the annual construction project plan, and encourage backbone construction enterprises to participate in major infrastructure construction such as rail transit, bridges and tunnels, comprehensive pipe corridors, and sponge cities by means of consortium bidding. In the construction of urban rail transit, all localities should actively carry out the participation of construction enterprises in the province in the pilot work. Promote the diversified operation of enterprises, guide construction enterprises to extend the industrial chain, enhance the value chain, improve competitiveness, promote the upstream and downstream extension of large and medium-sized enterprises and the diversification of the industry, carry out all-round and integrated services in the fields of investment and financing, design consulting, engineering construction, production of building parts, operation and maintenance, etc., and gradually realize the extension from building products to development and operation of building products. Support private construction enterprises to use the PPP model to enter urban water supply, sewage and garbage treatment, gas, public transportation and other fields to carry out "construction and operation integration" business, and must not set additional conditions and discriminatory clauses for private construction enterprises in violation of regulations. By 2020, 50 enterprises with an output value of more than 10 billion yuan will be cultivated, zero breakthroughs will be achieved in enterprises with an output value of more than 100 billion yuan, and more than 10 construction enterprises in the province will enter the field of rail transit construction in the form of general contracting.</w:t>
      </w:r>
    </w:p>
    <w:p w14:paraId="41ED3B16" w14:textId="77777777" w:rsidR="00EA188B" w:rsidRPr="00EA188B" w:rsidRDefault="00EA188B" w:rsidP="00EA188B">
      <w:pPr>
        <w:widowControl/>
        <w:spacing w:before="100" w:beforeAutospacing="1" w:after="100" w:afterAutospacing="1" w:line="450" w:lineRule="atLeast"/>
        <w:ind w:left="870"/>
        <w:jc w:val="left"/>
        <w:rPr>
          <w:rFonts w:asciiTheme="minorEastAsia" w:hAnsiTheme="minorEastAsia" w:cs="宋体"/>
          <w:color w:val="484848"/>
          <w:kern w:val="0"/>
          <w:sz w:val="28"/>
          <w:szCs w:val="28"/>
        </w:rPr>
      </w:pPr>
      <w:r w:rsidRPr="00EA188B">
        <w:rPr>
          <w:color w:val="484848"/>
          <w:kern w:val="0"/>
          <w:sz w:val="28"/>
          <w:szCs w:val="28"/>
          <w:lang w:val="en"/>
        </w:rPr>
        <w:t>Third, promote the professionalization of workers in the construction industry</w:t>
      </w:r>
    </w:p>
    <w:p w14:paraId="45009D00" w14:textId="77777777" w:rsidR="00EA188B" w:rsidRPr="00EA188B" w:rsidRDefault="00EA188B" w:rsidP="00EA188B">
      <w:pPr>
        <w:widowControl/>
        <w:spacing w:before="100" w:beforeAutospacing="1" w:after="100" w:afterAutospacing="1" w:line="450" w:lineRule="atLeast"/>
        <w:ind w:left="870"/>
        <w:jc w:val="left"/>
        <w:rPr>
          <w:rFonts w:asciiTheme="minorEastAsia" w:hAnsiTheme="minorEastAsia" w:cs="宋体"/>
          <w:color w:val="484848"/>
          <w:kern w:val="0"/>
          <w:sz w:val="28"/>
          <w:szCs w:val="28"/>
        </w:rPr>
      </w:pPr>
      <w:r w:rsidRPr="00EA188B">
        <w:rPr>
          <w:color w:val="484848"/>
          <w:kern w:val="0"/>
          <w:sz w:val="28"/>
          <w:szCs w:val="28"/>
          <w:lang w:val="en"/>
        </w:rPr>
        <w:t xml:space="preserve">    Reform the construction employment system, and promote the transformation of construction labor service enterprises into specialized operating enterprises with stable labor relations. Improve vocational skills training, highlight the main responsibility of enterprise training, vigorously carry forward the spirit of craftsmen, continuously improve professional capabilities and quality, incorporate the skills training of qualified construction industry workers into the scope of existing vocational skills training and appraisal subsidies, and strictly implement the first training and then post for posts involving quality and safety. Broaden the diversified evaluation methods of vocational skills, establish and improve the appraisal system, and support qualified enterprises in independent training and evaluation. Improve and improve the social insurance payment methods suitable for the construction industry, and vigorously promote the participation of construction units in work injury insurance. Comprehensively implement the real-name system and information management of construction workers, coordinate the construction of an interconnected construction worker management information service platform, and guide the orderly transfer of human resources to market demand and labor remuneration to high-standard and high-skilled positions.</w:t>
      </w:r>
    </w:p>
    <w:p w14:paraId="4393D2F4" w14:textId="77777777" w:rsidR="00EA188B" w:rsidRPr="00EA188B" w:rsidRDefault="00EA188B" w:rsidP="00EA188B">
      <w:pPr>
        <w:widowControl/>
        <w:spacing w:before="100" w:beforeAutospacing="1" w:after="100" w:afterAutospacing="1" w:line="450" w:lineRule="atLeast"/>
        <w:ind w:left="870"/>
        <w:jc w:val="left"/>
        <w:rPr>
          <w:rFonts w:asciiTheme="minorEastAsia" w:hAnsiTheme="minorEastAsia" w:cs="宋体"/>
          <w:color w:val="484848"/>
          <w:kern w:val="0"/>
          <w:sz w:val="28"/>
          <w:szCs w:val="28"/>
        </w:rPr>
      </w:pPr>
      <w:r w:rsidRPr="00EA188B">
        <w:rPr>
          <w:color w:val="484848"/>
          <w:kern w:val="0"/>
          <w:sz w:val="28"/>
          <w:szCs w:val="28"/>
          <w:lang w:val="en"/>
        </w:rPr>
        <w:t>Fourth, promote prefabricated buildings</w:t>
      </w:r>
    </w:p>
    <w:p w14:paraId="1910BF32" w14:textId="77777777" w:rsidR="00EA188B" w:rsidRPr="00EA188B" w:rsidRDefault="00EA188B" w:rsidP="00EA188B">
      <w:pPr>
        <w:widowControl/>
        <w:spacing w:before="100" w:beforeAutospacing="1" w:after="100" w:afterAutospacing="1" w:line="450" w:lineRule="atLeast"/>
        <w:ind w:left="870"/>
        <w:jc w:val="left"/>
        <w:rPr>
          <w:rFonts w:asciiTheme="minorEastAsia" w:hAnsiTheme="minorEastAsia" w:cs="宋体"/>
          <w:color w:val="484848"/>
          <w:kern w:val="0"/>
          <w:sz w:val="28"/>
          <w:szCs w:val="28"/>
        </w:rPr>
      </w:pPr>
      <w:r w:rsidRPr="00EA188B">
        <w:rPr>
          <w:color w:val="484848"/>
          <w:kern w:val="0"/>
          <w:sz w:val="28"/>
          <w:szCs w:val="28"/>
          <w:lang w:val="en"/>
        </w:rPr>
        <w:t xml:space="preserve">    Accelerate the improvement of the prefabricated building technical standard system, market promotion system, quality supervision system and monitoring and evaluation system. While vigorously developing prefabricated concrete buildings, we will actively promote prefabricated steel structure buildings and prefabricated wooden structure buildings, and actively explore the construction of low-rise housing in rural prefabricated buildings. Focusing on cultivating the market demand for prefabricated buildings, government investment projects have taken the lead in realizing prefabricated construction, and clarifying the proportion of prefabricated buildings for construction projects through land transfer. Actively promote the construction of prefabricated building industrial parks, demonstration bases and projects, and form a large-scale prefabricated building industry chain. For prefabricated building prefabricated parts and components production enterprises, included in the scope of project construction supervision, in line with the policy provisions can apply to enjoy the new wall material value-added tax incentives; obtain the new wall material certification, can apply for energy conservation and emission reduction special guidance fund funding. By 2020, prefabricated buildings in the province will account for 30% of the new construction area.</w:t>
      </w:r>
    </w:p>
    <w:p w14:paraId="3283B1DD" w14:textId="77777777" w:rsidR="00EA188B" w:rsidRPr="00EA188B" w:rsidRDefault="00EA188B" w:rsidP="00EA188B">
      <w:pPr>
        <w:widowControl/>
        <w:spacing w:before="100" w:beforeAutospacing="1" w:after="100" w:afterAutospacing="1" w:line="450" w:lineRule="atLeast"/>
        <w:ind w:left="870"/>
        <w:jc w:val="left"/>
        <w:rPr>
          <w:rFonts w:asciiTheme="minorEastAsia" w:hAnsiTheme="minorEastAsia" w:cs="宋体"/>
          <w:color w:val="484848"/>
          <w:kern w:val="0"/>
          <w:sz w:val="28"/>
          <w:szCs w:val="28"/>
        </w:rPr>
      </w:pPr>
      <w:r w:rsidRPr="00EA188B">
        <w:rPr>
          <w:color w:val="484848"/>
          <w:kern w:val="0"/>
          <w:sz w:val="28"/>
          <w:szCs w:val="28"/>
          <w:lang w:val="en"/>
        </w:rPr>
        <w:t>Fifth, strengthen the application of digital construction technology</w:t>
      </w:r>
    </w:p>
    <w:p w14:paraId="014B36D1" w14:textId="77777777" w:rsidR="00EA188B" w:rsidRPr="00EA188B" w:rsidRDefault="00EA188B" w:rsidP="00EA188B">
      <w:pPr>
        <w:widowControl/>
        <w:spacing w:before="100" w:beforeAutospacing="1" w:after="100" w:afterAutospacing="1" w:line="450" w:lineRule="atLeast"/>
        <w:ind w:left="870"/>
        <w:jc w:val="left"/>
        <w:rPr>
          <w:rFonts w:asciiTheme="minorEastAsia" w:hAnsiTheme="minorEastAsia" w:cs="宋体"/>
          <w:color w:val="484848"/>
          <w:kern w:val="0"/>
          <w:sz w:val="28"/>
          <w:szCs w:val="28"/>
        </w:rPr>
      </w:pPr>
      <w:r w:rsidRPr="00EA188B">
        <w:rPr>
          <w:color w:val="484848"/>
          <w:kern w:val="0"/>
          <w:sz w:val="28"/>
          <w:szCs w:val="28"/>
          <w:lang w:val="en"/>
        </w:rPr>
        <w:t xml:space="preserve">    Accelerate the integrated application of building information modeling (BIM) technology in the whole process of planning, survey, design, construction and operation and maintenance, realize the whole life cycle data sharing and information management of engineering construction projects, provide a basis for project plan optimization and scientific decision-making, and promote the quality and efficiency of the construction industry. Formulate guidelines for promoting the application of BIM technology in our province, and establish a long-term mechanism for the promotion and application of BIM technology. Accelerate the preparation of technical standards such as BIM technical approval, delivery, acceptance, and evaluation, and improve the technical standard system. Establish bim technical service fee standards and include the total project investment and project cost as a non-competitive expense within 3 years. Select a number of representative projects to carry out pilot demonstrations of BIM technology applications, and form experiences and methods that can be promoted. Promote the use of key technologies such as sensors, the Internet of Things, and dynamic monitoring in digital construction, and promote the construction of digital construction standards and technical systems. By 2020, the province's construction, municipal Grade A design units and construction enterprises above the first level will master and implement the integrated application of BIM technology, and the proportion of newly established public buildings and municipal engineering integrated applications with state-owned capital investment will reach 90%.</w:t>
      </w:r>
    </w:p>
    <w:p w14:paraId="3D82A700" w14:textId="77777777" w:rsidR="00EA188B" w:rsidRPr="00EA188B" w:rsidRDefault="00EA188B" w:rsidP="00EA188B">
      <w:pPr>
        <w:widowControl/>
        <w:spacing w:before="100" w:beforeAutospacing="1" w:after="100" w:afterAutospacing="1" w:line="450" w:lineRule="atLeast"/>
        <w:ind w:left="870"/>
        <w:jc w:val="left"/>
        <w:rPr>
          <w:rFonts w:asciiTheme="minorEastAsia" w:hAnsiTheme="minorEastAsia" w:cs="宋体"/>
          <w:color w:val="484848"/>
          <w:kern w:val="0"/>
          <w:sz w:val="28"/>
          <w:szCs w:val="28"/>
        </w:rPr>
      </w:pPr>
      <w:r w:rsidRPr="00EA188B">
        <w:rPr>
          <w:color w:val="484848"/>
          <w:kern w:val="0"/>
          <w:sz w:val="28"/>
          <w:szCs w:val="28"/>
          <w:lang w:val="en"/>
        </w:rPr>
        <w:t>Sixth, expand the proportion of fully renovated finished housing</w:t>
      </w:r>
    </w:p>
    <w:p w14:paraId="584D71E2" w14:textId="77777777" w:rsidR="00EA188B" w:rsidRPr="00EA188B" w:rsidRDefault="00EA188B" w:rsidP="00EA188B">
      <w:pPr>
        <w:widowControl/>
        <w:spacing w:before="100" w:beforeAutospacing="1" w:after="100" w:afterAutospacing="1" w:line="450" w:lineRule="atLeast"/>
        <w:ind w:left="870"/>
        <w:jc w:val="left"/>
        <w:rPr>
          <w:rFonts w:asciiTheme="minorEastAsia" w:hAnsiTheme="minorEastAsia" w:cs="宋体"/>
          <w:color w:val="484848"/>
          <w:kern w:val="0"/>
          <w:sz w:val="28"/>
          <w:szCs w:val="28"/>
        </w:rPr>
      </w:pPr>
      <w:r w:rsidRPr="00EA188B">
        <w:rPr>
          <w:color w:val="484848"/>
          <w:kern w:val="0"/>
          <w:sz w:val="28"/>
          <w:szCs w:val="28"/>
          <w:lang w:val="en"/>
        </w:rPr>
        <w:t xml:space="preserve">    Vigorously promote the integration of housing design, construction and decoration, promote the assembly decoration of standardized, modular and dry operations, promote the integration of materials, products and equipment pipelines such as overall kitchen and bathroom, lightweight partition walls, etc., and realize the fixed surface paving or painting of all functional spaces in the suite when the house is delivered, the installation of pipelines and terminals, the basic facilities of doors and windows, kitchens and bathrooms, etc. are all completed and have the function of use. Advocate menu-style decoration to meet the personalized needs of consumers. The cost of renovation is calculated separately in the housing price monitoring system. By 2020, the proportion of newly built commercial housing in districted cities will reach more than 50%, and prefabricated residential buildings and newly built public rental housing invested by the government will all achieve the delivery of finished housing.</w:t>
      </w:r>
    </w:p>
    <w:p w14:paraId="2E16C9F6" w14:textId="77777777" w:rsidR="00EA188B" w:rsidRPr="00EA188B" w:rsidRDefault="00EA188B" w:rsidP="00EA188B">
      <w:pPr>
        <w:widowControl/>
        <w:spacing w:before="100" w:beforeAutospacing="1" w:after="100" w:afterAutospacing="1" w:line="450" w:lineRule="atLeast"/>
        <w:ind w:left="870"/>
        <w:jc w:val="left"/>
        <w:rPr>
          <w:rFonts w:asciiTheme="minorEastAsia" w:hAnsiTheme="minorEastAsia" w:cs="宋体"/>
          <w:color w:val="484848"/>
          <w:kern w:val="0"/>
          <w:sz w:val="28"/>
          <w:szCs w:val="28"/>
        </w:rPr>
      </w:pPr>
      <w:r w:rsidRPr="00EA188B">
        <w:rPr>
          <w:color w:val="484848"/>
          <w:kern w:val="0"/>
          <w:sz w:val="28"/>
          <w:szCs w:val="28"/>
          <w:lang w:val="en"/>
        </w:rPr>
        <w:t>7. Implement the "Green Building +" project</w:t>
      </w:r>
    </w:p>
    <w:p w14:paraId="3B4EBA8F" w14:textId="77777777" w:rsidR="00EA188B" w:rsidRPr="00EA188B" w:rsidRDefault="00EA188B" w:rsidP="00EA188B">
      <w:pPr>
        <w:widowControl/>
        <w:spacing w:before="100" w:beforeAutospacing="1" w:after="100" w:afterAutospacing="1" w:line="450" w:lineRule="atLeast"/>
        <w:ind w:left="870"/>
        <w:jc w:val="left"/>
        <w:rPr>
          <w:rFonts w:asciiTheme="minorEastAsia" w:hAnsiTheme="minorEastAsia" w:cs="宋体"/>
          <w:color w:val="484848"/>
          <w:kern w:val="0"/>
          <w:sz w:val="28"/>
          <w:szCs w:val="28"/>
        </w:rPr>
      </w:pPr>
      <w:r w:rsidRPr="00EA188B">
        <w:rPr>
          <w:color w:val="484848"/>
          <w:kern w:val="0"/>
          <w:sz w:val="28"/>
          <w:szCs w:val="28"/>
          <w:lang w:val="en"/>
        </w:rPr>
        <w:t xml:space="preserve">    Promote the improvement of green building quality and the large-scale development of high-star green buildings, explore the construction of a green building evaluation and identification system with Jiangsu characteristics, promote the deep integration of prefabricated buildings, passive buildings, BIM, intelligent wisdom and other technologies with green buildings, implement a number of passive building projects, and promote the development of green buildings to a deeper level. Formulate green ecological planning and construction standards in Jiangsu Province, promote the large-scale development of high-star green buildings and passive buildings, simultaneously promote the centralized integration demonstration of eco-urban and rural construction such as green transportation, green lighting, sponge city, smart city, comprehensive utilization of underground space, and regional energy supply, and explore the construction path of ecological city with coordinated development and green development. Strengthen the control of pollution such as dust and noise at construction sites, and further promote green construction. Explore the establishment of a market-oriented promotion mechanism for the energy-saving renovation of existing buildings, strengthen the operation and management of green buildings, and improve the energy efficiency of buildings. Further increase the special fund support for building energy conservation, and strengthen demonstration and leadership</w:t>
      </w:r>
      <w:r w:rsidRPr="00EA188B">
        <w:rPr>
          <w:color w:val="484848"/>
          <w:kern w:val="0"/>
          <w:sz w:val="28"/>
          <w:szCs w:val="28"/>
          <w:lang w:val="en"/>
        </w:rPr>
        <w:t>。</w:t>
      </w:r>
      <w:r w:rsidRPr="00EA188B">
        <w:rPr>
          <w:color w:val="484848"/>
          <w:kern w:val="0"/>
          <w:sz w:val="28"/>
          <w:szCs w:val="28"/>
          <w:lang w:val="en"/>
        </w:rPr>
        <w:t xml:space="preserve"> The incremental cost of high-star green buildings and passive buildings is calculated separately in the housing price monitoring system. By 2020, new civil buildings will fully implement the 75% energy-saving standard and achieve a 20% increase in building energy efficiency; 500 million square meters of new green buildings will be added in the province, of which two-star and above green buildings account for 50% of the proportion of new urban buildings.</w:t>
      </w:r>
    </w:p>
    <w:p w14:paraId="5657D1C5" w14:textId="77777777" w:rsidR="00EA188B" w:rsidRPr="00EA188B" w:rsidRDefault="00EA188B" w:rsidP="00EA188B">
      <w:pPr>
        <w:widowControl/>
        <w:spacing w:before="100" w:beforeAutospacing="1" w:after="100" w:afterAutospacing="1" w:line="450" w:lineRule="atLeast"/>
        <w:ind w:left="870"/>
        <w:jc w:val="left"/>
        <w:rPr>
          <w:rFonts w:asciiTheme="minorEastAsia" w:hAnsiTheme="minorEastAsia" w:cs="宋体"/>
          <w:color w:val="484848"/>
          <w:kern w:val="0"/>
          <w:sz w:val="28"/>
          <w:szCs w:val="28"/>
        </w:rPr>
      </w:pPr>
      <w:r w:rsidRPr="00EA188B">
        <w:rPr>
          <w:color w:val="484848"/>
          <w:kern w:val="0"/>
          <w:sz w:val="28"/>
          <w:szCs w:val="28"/>
          <w:lang w:val="en"/>
        </w:rPr>
        <w:t>8. Implement general contracting of projects</w:t>
      </w:r>
    </w:p>
    <w:p w14:paraId="021759E6" w14:textId="77777777" w:rsidR="00EA188B" w:rsidRPr="00EA188B" w:rsidRDefault="00EA188B" w:rsidP="00EA188B">
      <w:pPr>
        <w:widowControl/>
        <w:spacing w:before="100" w:beforeAutospacing="1" w:after="100" w:afterAutospacing="1" w:line="450" w:lineRule="atLeast"/>
        <w:ind w:left="870"/>
        <w:jc w:val="left"/>
        <w:rPr>
          <w:rFonts w:asciiTheme="minorEastAsia" w:hAnsiTheme="minorEastAsia" w:cs="宋体"/>
          <w:color w:val="484848"/>
          <w:kern w:val="0"/>
          <w:sz w:val="28"/>
          <w:szCs w:val="28"/>
        </w:rPr>
      </w:pPr>
      <w:r w:rsidRPr="00EA188B">
        <w:rPr>
          <w:color w:val="484848"/>
          <w:kern w:val="0"/>
          <w:sz w:val="28"/>
          <w:szCs w:val="28"/>
          <w:lang w:val="en"/>
        </w:rPr>
        <w:t xml:space="preserve">    On the basis of comprehensively implementing the general contracting of construction, we will accelerate the implementation of the general contracting model of projects, and encourage large-scale design and construction general contracting enterprises with strong comprehensive strength to carry out general contracting business. Accelerate the establishment of supporting systems for bidding, project valuation, and project management that are adapted to the development of general contracting. Except for projects that are included in the scope of the general contracting in the form of provisional valuation and must be tendered according to law, the general contracting unit can directly issue contracts for other professional businesses covered in the general contracting contract. For EPC projects that adopt a fixed total price contract, during the valuation settlement and audit, the focus is on the agreed change adjustment part and the provisional valuation part. Every year, all localities should specify that no less than 20% of the state-owned funds should invest in the leading project to implement the general contracting of the project. In principle, prefabricated buildings should all adopt the EPC model. By 2020, the province will cultivate 100 backbone enterprises for general contracting of projects.</w:t>
      </w:r>
    </w:p>
    <w:p w14:paraId="54E06C2C" w14:textId="77777777" w:rsidR="00EA188B" w:rsidRPr="00EA188B" w:rsidRDefault="00EA188B" w:rsidP="00EA188B">
      <w:pPr>
        <w:widowControl/>
        <w:spacing w:before="100" w:beforeAutospacing="1" w:after="100" w:afterAutospacing="1" w:line="450" w:lineRule="atLeast"/>
        <w:ind w:left="870"/>
        <w:jc w:val="left"/>
        <w:rPr>
          <w:rFonts w:asciiTheme="minorEastAsia" w:hAnsiTheme="minorEastAsia" w:cs="宋体"/>
          <w:color w:val="484848"/>
          <w:kern w:val="0"/>
          <w:sz w:val="28"/>
          <w:szCs w:val="28"/>
        </w:rPr>
      </w:pPr>
      <w:r w:rsidRPr="00EA188B">
        <w:rPr>
          <w:color w:val="484848"/>
          <w:kern w:val="0"/>
          <w:sz w:val="28"/>
          <w:szCs w:val="28"/>
          <w:lang w:val="en"/>
        </w:rPr>
        <w:t>Nine, cultivate the whole process of engineering consulting services</w:t>
      </w:r>
    </w:p>
    <w:p w14:paraId="40A2C6DA" w14:textId="77777777" w:rsidR="00EA188B" w:rsidRPr="00EA188B" w:rsidRDefault="00EA188B" w:rsidP="00EA188B">
      <w:pPr>
        <w:widowControl/>
        <w:spacing w:before="100" w:beforeAutospacing="1" w:after="100" w:afterAutospacing="1" w:line="450" w:lineRule="atLeast"/>
        <w:ind w:left="870"/>
        <w:jc w:val="left"/>
        <w:rPr>
          <w:rFonts w:asciiTheme="minorEastAsia" w:hAnsiTheme="minorEastAsia" w:cs="宋体"/>
          <w:color w:val="484848"/>
          <w:kern w:val="0"/>
          <w:sz w:val="28"/>
          <w:szCs w:val="28"/>
        </w:rPr>
      </w:pPr>
      <w:r w:rsidRPr="00EA188B">
        <w:rPr>
          <w:color w:val="484848"/>
          <w:kern w:val="0"/>
          <w:sz w:val="28"/>
          <w:szCs w:val="28"/>
          <w:lang w:val="en"/>
        </w:rPr>
        <w:t xml:space="preserve">    Integrate the investment consulting, engineering design, bidding agency, cost consulting, project supervision, project management and other services required for project construction, and promote consulting enterprises to provide the whole process and integrated services. Guide and support the construction unit to entrust the whole process of engineering consulting services to an enterprise or a consortium with full qualifications and strong comprehensive strength; or entrust it to an enterprise with relevant qualifications, and the enterprise will subcontract the business that is not within the scope of the qualification business of the unit to other enterprises with corresponding qualifications. Every year, all localities should implement a number of influential and exemplary whole-process engineering consulting projects. In civil construction projects, give full play to the leading role of architects and explore the implementation of the architect responsibility system. By 2020, the province will cultivate 100 backbone enterprises with the ability to consult the whole process of engineering.</w:t>
      </w:r>
    </w:p>
    <w:p w14:paraId="3FB37522" w14:textId="77777777" w:rsidR="00EA188B" w:rsidRPr="00EA188B" w:rsidRDefault="00EA188B" w:rsidP="00EA188B">
      <w:pPr>
        <w:widowControl/>
        <w:spacing w:before="100" w:beforeAutospacing="1" w:after="100" w:afterAutospacing="1" w:line="450" w:lineRule="atLeast"/>
        <w:ind w:left="870"/>
        <w:jc w:val="left"/>
        <w:rPr>
          <w:rFonts w:asciiTheme="minorEastAsia" w:hAnsiTheme="minorEastAsia" w:cs="宋体"/>
          <w:color w:val="484848"/>
          <w:kern w:val="0"/>
          <w:sz w:val="28"/>
          <w:szCs w:val="28"/>
        </w:rPr>
      </w:pPr>
      <w:r w:rsidRPr="00EA188B">
        <w:rPr>
          <w:color w:val="484848"/>
          <w:kern w:val="0"/>
          <w:sz w:val="28"/>
          <w:szCs w:val="28"/>
          <w:lang w:val="en"/>
        </w:rPr>
        <w:t>X. Accelerate the centralized organization and construction of government investment projects</w:t>
      </w:r>
    </w:p>
    <w:p w14:paraId="62A16E52" w14:textId="77777777" w:rsidR="00EA188B" w:rsidRPr="00EA188B" w:rsidRDefault="00EA188B" w:rsidP="00EA188B">
      <w:pPr>
        <w:widowControl/>
        <w:spacing w:before="100" w:beforeAutospacing="1" w:after="100" w:afterAutospacing="1" w:line="450" w:lineRule="atLeast"/>
        <w:ind w:left="870"/>
        <w:jc w:val="left"/>
        <w:rPr>
          <w:rFonts w:asciiTheme="minorEastAsia" w:hAnsiTheme="minorEastAsia" w:cs="宋体"/>
          <w:color w:val="484848"/>
          <w:kern w:val="0"/>
          <w:sz w:val="28"/>
          <w:szCs w:val="28"/>
        </w:rPr>
      </w:pPr>
      <w:r w:rsidRPr="00EA188B">
        <w:rPr>
          <w:color w:val="484848"/>
          <w:kern w:val="0"/>
          <w:sz w:val="28"/>
          <w:szCs w:val="28"/>
          <w:lang w:val="en"/>
        </w:rPr>
        <w:t xml:space="preserve">    Promote the transformation of government investment projects from the use of units to the centralized organization and construction of professional institutions and professional construction platforms established by the government, realize the separation of "investment, construction, supervision and use", and continuously improve the professional level of project management and the investment efficiency of financial funds. By 2018, the provincial government's investment projects will fully implement centralized organization construction.</w:t>
      </w:r>
    </w:p>
    <w:p w14:paraId="661218E0" w14:textId="77777777" w:rsidR="00EA188B" w:rsidRPr="00EA188B" w:rsidRDefault="00EA188B" w:rsidP="00EA188B">
      <w:pPr>
        <w:widowControl/>
        <w:spacing w:before="100" w:beforeAutospacing="1" w:after="100" w:afterAutospacing="1" w:line="450" w:lineRule="atLeast"/>
        <w:ind w:left="870"/>
        <w:jc w:val="left"/>
        <w:rPr>
          <w:rFonts w:asciiTheme="minorEastAsia" w:hAnsiTheme="minorEastAsia" w:cs="宋体"/>
          <w:color w:val="484848"/>
          <w:kern w:val="0"/>
          <w:sz w:val="28"/>
          <w:szCs w:val="28"/>
        </w:rPr>
      </w:pPr>
      <w:r w:rsidRPr="00EA188B">
        <w:rPr>
          <w:color w:val="484848"/>
          <w:kern w:val="0"/>
          <w:sz w:val="28"/>
          <w:szCs w:val="28"/>
          <w:lang w:val="en"/>
        </w:rPr>
        <w:t>11. Adjust the scope of bidding for engineering construction projects</w:t>
      </w:r>
    </w:p>
    <w:p w14:paraId="5F514874" w14:textId="77777777" w:rsidR="00EA188B" w:rsidRPr="00EA188B" w:rsidRDefault="00EA188B" w:rsidP="00EA188B">
      <w:pPr>
        <w:widowControl/>
        <w:spacing w:before="100" w:beforeAutospacing="1" w:after="100" w:afterAutospacing="1" w:line="450" w:lineRule="atLeast"/>
        <w:ind w:left="870"/>
        <w:jc w:val="left"/>
        <w:rPr>
          <w:rFonts w:asciiTheme="minorEastAsia" w:hAnsiTheme="minorEastAsia" w:cs="宋体"/>
          <w:color w:val="484848"/>
          <w:kern w:val="0"/>
          <w:sz w:val="28"/>
          <w:szCs w:val="28"/>
        </w:rPr>
      </w:pPr>
      <w:r w:rsidRPr="00EA188B">
        <w:rPr>
          <w:color w:val="484848"/>
          <w:kern w:val="0"/>
          <w:sz w:val="28"/>
          <w:szCs w:val="28"/>
          <w:lang w:val="en"/>
        </w:rPr>
        <w:t xml:space="preserve">    For all engineering construction projects in which non-state-owned funds or non-state-owned funds hold or dominate (except for those involving national defense, national security, etc.), the construction unit may independently decide whether to use bidding or direct contract issuance, and whether to enter the tangible market for transactions. The bidding and bidding supervision departments should innovate the supervision methods, clarify the key points of supervision, and focus on strengthening the supervision of bidding and bidding for state-owned capital investment projects. For operational construction projects invested by state-owned enterprises, where the construction unit holding or being controlled by the enterprise is able to provide design, construction, material equipment and consulting services in accordance with law, the construction unit may directly contract the design, construction, material equipment and consulting services of the project to the holding enterprise or the controlled enterprise.</w:t>
      </w:r>
    </w:p>
    <w:p w14:paraId="4C556660" w14:textId="77777777" w:rsidR="00EA188B" w:rsidRPr="00EA188B" w:rsidRDefault="00EA188B" w:rsidP="00EA188B">
      <w:pPr>
        <w:widowControl/>
        <w:spacing w:before="100" w:beforeAutospacing="1" w:after="100" w:afterAutospacing="1" w:line="450" w:lineRule="atLeast"/>
        <w:ind w:left="870"/>
        <w:jc w:val="left"/>
        <w:rPr>
          <w:rFonts w:asciiTheme="minorEastAsia" w:hAnsiTheme="minorEastAsia" w:cs="宋体"/>
          <w:color w:val="484848"/>
          <w:kern w:val="0"/>
          <w:sz w:val="28"/>
          <w:szCs w:val="28"/>
        </w:rPr>
      </w:pPr>
      <w:r w:rsidRPr="00EA188B">
        <w:rPr>
          <w:color w:val="484848"/>
          <w:kern w:val="0"/>
          <w:sz w:val="28"/>
          <w:szCs w:val="28"/>
          <w:lang w:val="en"/>
        </w:rPr>
        <w:t>XII. Reform the bidding and evaluation system for projects and improve work efficiency</w:t>
      </w:r>
    </w:p>
    <w:p w14:paraId="034561B9" w14:textId="77777777" w:rsidR="00EA188B" w:rsidRPr="00EA188B" w:rsidRDefault="00EA188B" w:rsidP="00EA188B">
      <w:pPr>
        <w:widowControl/>
        <w:spacing w:before="100" w:beforeAutospacing="1" w:after="100" w:afterAutospacing="1" w:line="450" w:lineRule="atLeast"/>
        <w:ind w:left="870"/>
        <w:jc w:val="left"/>
        <w:rPr>
          <w:rFonts w:asciiTheme="minorEastAsia" w:hAnsiTheme="minorEastAsia" w:cs="宋体"/>
          <w:color w:val="484848"/>
          <w:kern w:val="0"/>
          <w:sz w:val="28"/>
          <w:szCs w:val="28"/>
        </w:rPr>
      </w:pPr>
      <w:r w:rsidRPr="00EA188B">
        <w:rPr>
          <w:color w:val="484848"/>
          <w:kern w:val="0"/>
          <w:sz w:val="28"/>
          <w:szCs w:val="28"/>
          <w:lang w:val="en"/>
        </w:rPr>
        <w:t xml:space="preserve">    The system of "assessment separation" shall be implemented for architectural scheme design projects, general contracting projects, and large-scale or technically complex projects centrally constructed by the government. For projects that implement the evaluated minimum bid price method, the successful bidder is required to provide a performance guarantee for the difference in addition to the normal performance guarantee. Projects that implement the comprehensive bid evaluation method must implement the "three-in-one" evaluation of commercial bids, technical bids and credit bids. Enterprises that have been included in the "blacklist" of restricted access due to serious untrustworthiness must not participate in bidding. Explore the establishment of a price early warning intervention mechanism, change the bidding and procurement management mode based on price determinants, implement a comprehensive assessment of technology, quality, brand, price and other factors, and guide enterprises to change from "fighting for price" to "fighting for quality". To improve the efficiency of project bidding, small and medium-sized projects and technical bids do not participate in the evaluation of the project, the bidding documents to the opening time of not less than 10 days (except for design bidding); the use of reasonable price random method of the project, the bidding documents to the opening time of not less than 7 days. Expand the openness of bidding information, and implement online acceptance of objections and complaints. Establish a provincial-level senior bid evaluation expert database, and establish an expert review system for major legal and technical issues in bidding and bidding.</w:t>
      </w:r>
    </w:p>
    <w:p w14:paraId="17C29874" w14:textId="77777777" w:rsidR="00EA188B" w:rsidRPr="00EA188B" w:rsidRDefault="00EA188B" w:rsidP="00EA188B">
      <w:pPr>
        <w:widowControl/>
        <w:spacing w:before="100" w:beforeAutospacing="1" w:after="100" w:afterAutospacing="1" w:line="450" w:lineRule="atLeast"/>
        <w:ind w:left="870"/>
        <w:jc w:val="left"/>
        <w:rPr>
          <w:rFonts w:asciiTheme="minorEastAsia" w:hAnsiTheme="minorEastAsia" w:cs="宋体"/>
          <w:color w:val="484848"/>
          <w:kern w:val="0"/>
          <w:sz w:val="28"/>
          <w:szCs w:val="28"/>
        </w:rPr>
      </w:pPr>
      <w:r w:rsidRPr="00EA188B">
        <w:rPr>
          <w:color w:val="484848"/>
          <w:kern w:val="0"/>
          <w:sz w:val="28"/>
          <w:szCs w:val="28"/>
          <w:lang w:val="en"/>
        </w:rPr>
        <w:t>13. Improve the system of contracting for architectural design</w:t>
      </w:r>
    </w:p>
    <w:p w14:paraId="1F5F4DFF" w14:textId="77777777" w:rsidR="00EA188B" w:rsidRPr="00EA188B" w:rsidRDefault="00EA188B" w:rsidP="00EA188B">
      <w:pPr>
        <w:widowControl/>
        <w:spacing w:before="100" w:beforeAutospacing="1" w:after="100" w:afterAutospacing="1" w:line="450" w:lineRule="atLeast"/>
        <w:ind w:left="870"/>
        <w:jc w:val="left"/>
        <w:rPr>
          <w:rFonts w:asciiTheme="minorEastAsia" w:hAnsiTheme="minorEastAsia" w:cs="宋体"/>
          <w:color w:val="484848"/>
          <w:kern w:val="0"/>
          <w:sz w:val="28"/>
          <w:szCs w:val="28"/>
        </w:rPr>
      </w:pPr>
      <w:r w:rsidRPr="00EA188B">
        <w:rPr>
          <w:color w:val="484848"/>
          <w:kern w:val="0"/>
          <w:sz w:val="28"/>
          <w:szCs w:val="28"/>
          <w:lang w:val="en"/>
        </w:rPr>
        <w:t xml:space="preserve">    Implement bidding methods that conform to design characteristics, such as bidding for architectural design schemes and bidding for design teams. Where the architectural design scheme is used for bidding, the construction unit shall sign an engineering design contract with the winning bidder in accordance with the relevant provisions, including the design of the scheme, the preliminary design and the design stage of the construction drawings, and if it is truly necessary to choose another design unit to undertake the preliminary design or construction drawing design, it shall be specified in the bidding announcement or the invitation to bid, and the design fee of the winning unit shall be paid, and the amount shall not be less than 30% of the total design fee of the project. If the design team is used for bidding, the bidder's ability, performance, credibility and design concept should be considered. Where it is really necessary to set a bidding quotation in the evaluation criteria, its weight shall not exceed 10%. For construction projects in important urban areas and important landscape areas, public buildings with special requirements for architectural functions, and important large-scale projects in the province, upon the research and consent of the people's government at or above the county level where they are located, they may use the method of invitation to bid to issue contracts, and may also directly issue contracts to design units with design masters named by academicians of architecture majors, the Ministry of Housing and Urban-Rural Development or provincial people's governments as the main creative designers. Improve the election system for architectural design plans, and construction units may use the election method to determine the design plan. Encourage the construction project to implement the design of the general contract, in accordance with the contract or with the consent of the construction unit, the design unit may directly subcontract the design of the non-main part of the construction project.</w:t>
      </w:r>
    </w:p>
    <w:p w14:paraId="263FEE6E" w14:textId="77777777" w:rsidR="00EA188B" w:rsidRPr="00EA188B" w:rsidRDefault="00EA188B" w:rsidP="00EA188B">
      <w:pPr>
        <w:widowControl/>
        <w:spacing w:before="100" w:beforeAutospacing="1" w:after="100" w:afterAutospacing="1" w:line="450" w:lineRule="atLeast"/>
        <w:ind w:left="870"/>
        <w:jc w:val="left"/>
        <w:rPr>
          <w:rFonts w:asciiTheme="minorEastAsia" w:hAnsiTheme="minorEastAsia" w:cs="宋体"/>
          <w:color w:val="484848"/>
          <w:kern w:val="0"/>
          <w:sz w:val="28"/>
          <w:szCs w:val="28"/>
        </w:rPr>
      </w:pPr>
      <w:r w:rsidRPr="00EA188B">
        <w:rPr>
          <w:color w:val="484848"/>
          <w:kern w:val="0"/>
          <w:sz w:val="28"/>
          <w:szCs w:val="28"/>
          <w:lang w:val="en"/>
        </w:rPr>
        <w:t>14. Establish a quality control and evaluation system for the whole process of engineering</w:t>
      </w:r>
    </w:p>
    <w:p w14:paraId="7DAAADAD" w14:textId="77777777" w:rsidR="00EA188B" w:rsidRPr="00EA188B" w:rsidRDefault="00EA188B" w:rsidP="00EA188B">
      <w:pPr>
        <w:widowControl/>
        <w:spacing w:before="100" w:beforeAutospacing="1" w:after="100" w:afterAutospacing="1" w:line="450" w:lineRule="atLeast"/>
        <w:ind w:left="870"/>
        <w:jc w:val="left"/>
        <w:rPr>
          <w:rFonts w:asciiTheme="minorEastAsia" w:hAnsiTheme="minorEastAsia" w:cs="宋体"/>
          <w:color w:val="484848"/>
          <w:kern w:val="0"/>
          <w:sz w:val="28"/>
          <w:szCs w:val="28"/>
        </w:rPr>
      </w:pPr>
      <w:r w:rsidRPr="00EA188B">
        <w:rPr>
          <w:color w:val="484848"/>
          <w:kern w:val="0"/>
          <w:sz w:val="28"/>
          <w:szCs w:val="28"/>
          <w:lang w:val="en"/>
        </w:rPr>
        <w:t xml:space="preserve">    Explore the establishment of engineering quality performance evaluation index system and application methods, strengthen the control of engineering quality process, implement the process quantitative evaluation mechanism, and publish the quantitative results to the public after the project is completed. The quantitative cumulative score within a time limit is linked to the government's bidding, appraisal and reward, and guide the construction industry enterprises to consciously improve the quality of the project. Establish a comprehensive reporting system for quality inspection of construction projects, and further implement the responsibility for testing quality. Establish building materials certification, evaluation, information disclosure and other systems, and improve the quality tracking, positioning, maintenance and responsibility traceability mechanism of the whole process of the project. Strengthen the collection and management of documents and electronic documents in all aspects of engineering project construction, ensure that the construction project files are true, complete and accurate, and provide a basis for implementing the lifelong responsibility system for the quality of construction projects and ensuring the operation and maintenance of engineering facilities.</w:t>
      </w:r>
    </w:p>
    <w:p w14:paraId="17D5BD23" w14:textId="77777777" w:rsidR="00EA188B" w:rsidRPr="00EA188B" w:rsidRDefault="00EA188B" w:rsidP="00EA188B">
      <w:pPr>
        <w:widowControl/>
        <w:spacing w:before="100" w:beforeAutospacing="1" w:after="100" w:afterAutospacing="1" w:line="450" w:lineRule="atLeast"/>
        <w:ind w:left="870"/>
        <w:jc w:val="left"/>
        <w:rPr>
          <w:rFonts w:asciiTheme="minorEastAsia" w:hAnsiTheme="minorEastAsia" w:cs="宋体"/>
          <w:color w:val="484848"/>
          <w:kern w:val="0"/>
          <w:sz w:val="28"/>
          <w:szCs w:val="28"/>
        </w:rPr>
      </w:pPr>
      <w:r w:rsidRPr="00EA188B">
        <w:rPr>
          <w:color w:val="484848"/>
          <w:kern w:val="0"/>
          <w:sz w:val="28"/>
          <w:szCs w:val="28"/>
          <w:lang w:val="en"/>
        </w:rPr>
        <w:t>15. Strengthen project quality and safety supervision</w:t>
      </w:r>
    </w:p>
    <w:p w14:paraId="7DC5A1C8" w14:textId="77777777" w:rsidR="00EA188B" w:rsidRPr="00EA188B" w:rsidRDefault="00EA188B" w:rsidP="00EA188B">
      <w:pPr>
        <w:widowControl/>
        <w:spacing w:before="100" w:beforeAutospacing="1" w:after="100" w:afterAutospacing="1" w:line="450" w:lineRule="atLeast"/>
        <w:ind w:left="870"/>
        <w:jc w:val="left"/>
        <w:rPr>
          <w:rFonts w:asciiTheme="minorEastAsia" w:hAnsiTheme="minorEastAsia" w:cs="宋体"/>
          <w:color w:val="484848"/>
          <w:kern w:val="0"/>
          <w:sz w:val="28"/>
          <w:szCs w:val="28"/>
        </w:rPr>
      </w:pPr>
      <w:r w:rsidRPr="00EA188B">
        <w:rPr>
          <w:color w:val="484848"/>
          <w:kern w:val="0"/>
          <w:sz w:val="28"/>
          <w:szCs w:val="28"/>
          <w:lang w:val="en"/>
        </w:rPr>
        <w:t xml:space="preserve">    Fully implement the quality and safety responsibilities of all parties, strengthen the primary responsibility of the construction unit and the main responsibility of the survey, design and construction unit, strictly implement the quality and safety responsibility of the project leader, the legal representative of the enterprise is the first responsibility for quality and safety, and the planning and design, drawing review, construction permit, post-approval supervision, etc. should be based on safety as the premise to strengthen source control. Improve the linkage supervision mechanism between the construction site and the construction market. Give full play to the government supervision functions of the project quality and safety supervision agencies, focusing on strengthening the supervision and inspection of the engineering foundation, the main structure and other parts involving public safety, and the completion and acceptance. Strengthen project quality and safety supervision and law enforcement inspections, increase the intensity of spot checks and sampling, and implement the "double random, one open" inspection method. All localities may adopt the method of government procurement of services and entrust third-party agencies to implement project quality and safety management. Strengthen the construction of quality and safety supervision teams, strengthen the assessment of the ability and performance of duties by supervisory bodies and personnel, and the results are included in the government quality work assessment. The expenses required by the supervisory bodies to perform their functions shall be guaranteed in full from the financial budget at the same level.</w:t>
      </w:r>
    </w:p>
    <w:p w14:paraId="21DC6D18" w14:textId="77777777" w:rsidR="00EA188B" w:rsidRPr="00EA188B" w:rsidRDefault="00EA188B" w:rsidP="00EA188B">
      <w:pPr>
        <w:widowControl/>
        <w:spacing w:before="100" w:beforeAutospacing="1" w:after="100" w:afterAutospacing="1" w:line="450" w:lineRule="atLeast"/>
        <w:ind w:left="870"/>
        <w:jc w:val="left"/>
        <w:rPr>
          <w:rFonts w:asciiTheme="minorEastAsia" w:hAnsiTheme="minorEastAsia" w:cs="宋体"/>
          <w:color w:val="484848"/>
          <w:kern w:val="0"/>
          <w:sz w:val="28"/>
          <w:szCs w:val="28"/>
        </w:rPr>
      </w:pPr>
      <w:r w:rsidRPr="00EA188B">
        <w:rPr>
          <w:color w:val="484848"/>
          <w:kern w:val="0"/>
          <w:sz w:val="28"/>
          <w:szCs w:val="28"/>
          <w:lang w:val="en"/>
        </w:rPr>
        <w:t>16. Implement the project guarantee and insurance system</w:t>
      </w:r>
    </w:p>
    <w:p w14:paraId="2051F9E1" w14:textId="77777777" w:rsidR="00EA188B" w:rsidRPr="00EA188B" w:rsidRDefault="00EA188B" w:rsidP="00EA188B">
      <w:pPr>
        <w:widowControl/>
        <w:spacing w:before="100" w:beforeAutospacing="1" w:after="100" w:afterAutospacing="1" w:line="450" w:lineRule="atLeast"/>
        <w:ind w:left="870"/>
        <w:jc w:val="left"/>
        <w:rPr>
          <w:rFonts w:asciiTheme="minorEastAsia" w:hAnsiTheme="minorEastAsia" w:cs="宋体"/>
          <w:color w:val="484848"/>
          <w:kern w:val="0"/>
          <w:sz w:val="28"/>
          <w:szCs w:val="28"/>
        </w:rPr>
      </w:pPr>
      <w:r w:rsidRPr="00EA188B">
        <w:rPr>
          <w:color w:val="484848"/>
          <w:kern w:val="0"/>
          <w:sz w:val="28"/>
          <w:szCs w:val="28"/>
          <w:lang w:val="en"/>
        </w:rPr>
        <w:t xml:space="preserve">    Establish a bidding guarantee, project payment guarantee, contract performance guarantee, construction worker wage guarantee and quality warranty guarantee system based on bank guarantee letters, professional guarantee company guarantees or comprehensive insurance. The competent department and the construction unit shall not refuse the guarantee provided by means of a bank guarantee, a professional guarantee company or comprehensive insurance for any reason. Implement the "double guarantee" system for project performance, and if the construction unit submits a performance guarantee, the construction unit shall submit a guarantee for the payment of the project payment at the same time. The project quality insurance system is implemented for real estate development projects, and the insurance cost is included in the project cost. Projects that submit engineering quality warranty guarantee or engineering quality insurance will no longer reserve the project quality assurance fee.</w:t>
      </w:r>
    </w:p>
    <w:p w14:paraId="03EBDD25" w14:textId="77777777" w:rsidR="00EA188B" w:rsidRPr="00EA188B" w:rsidRDefault="00EA188B" w:rsidP="00EA188B">
      <w:pPr>
        <w:widowControl/>
        <w:spacing w:before="100" w:beforeAutospacing="1" w:after="100" w:afterAutospacing="1" w:line="450" w:lineRule="atLeast"/>
        <w:ind w:left="870"/>
        <w:jc w:val="left"/>
        <w:rPr>
          <w:rFonts w:asciiTheme="minorEastAsia" w:hAnsiTheme="minorEastAsia" w:cs="宋体"/>
          <w:color w:val="484848"/>
          <w:kern w:val="0"/>
          <w:sz w:val="28"/>
          <w:szCs w:val="28"/>
        </w:rPr>
      </w:pPr>
      <w:r w:rsidRPr="00EA188B">
        <w:rPr>
          <w:color w:val="484848"/>
          <w:kern w:val="0"/>
          <w:sz w:val="28"/>
          <w:szCs w:val="28"/>
          <w:lang w:val="en"/>
        </w:rPr>
        <w:t>17. Standardize the settlement of project prices</w:t>
      </w:r>
    </w:p>
    <w:p w14:paraId="0A8F94F5" w14:textId="77777777" w:rsidR="00EA188B" w:rsidRPr="00EA188B" w:rsidRDefault="00EA188B" w:rsidP="00EA188B">
      <w:pPr>
        <w:widowControl/>
        <w:spacing w:before="100" w:beforeAutospacing="1" w:after="100" w:afterAutospacing="1" w:line="450" w:lineRule="atLeast"/>
        <w:ind w:left="870"/>
        <w:jc w:val="left"/>
        <w:rPr>
          <w:rFonts w:asciiTheme="minorEastAsia" w:hAnsiTheme="minorEastAsia" w:cs="宋体"/>
          <w:color w:val="484848"/>
          <w:kern w:val="0"/>
          <w:sz w:val="28"/>
          <w:szCs w:val="28"/>
        </w:rPr>
      </w:pPr>
      <w:r w:rsidRPr="00EA188B">
        <w:rPr>
          <w:color w:val="484848"/>
          <w:kern w:val="0"/>
          <w:sz w:val="28"/>
          <w:szCs w:val="28"/>
          <w:lang w:val="en"/>
        </w:rPr>
        <w:t xml:space="preserve">    According to the project quality standards and grades to establish a high-quality and preferential price system, encourage enterprises to create high-quality projects, when the construction unit and the construction enterprise sign a contract, it can be clearly won the municipal quality project or above awards according to the construction of the project is not higher than 1% of the construction and security project costs are calculated according to the quality of the price. Reform the labor unit price formation mechanism, gradually integrate with the market labor price, incorporate social insurance premiums, provident funds, etc. into the budget labor wage unit price, and adjust the labor consumption. Standardize the advance payment, progress payment ratio, node and risk clause in the bidding documents, and the advance payment should not be less than 10% of the total contract price. Government-invested projects are strictly prohibited from requiring construction enterprises to contract with capital. Both parties to the contract shall complete the review, confirmation and payment of the completed quantity and the price of the changed visa when paying in the middle of the period. Strictly implement the time for the contractor and the contractor to complete the completion settlement check and sign the confirmation, and the amount of the project completion settlement report is less than 100 million yuan, not more than 90 days; if the amount is more than 100 million yuan, it is not more than 180 days; when the verification time exceeds the prescribed time limit, the bank shall pay the bank loan interest for the same period according to the contract. The auditing organ shall strengthen the auditing supervision of engineering construction projects with government investment as the mainstay in accordance with the law, and the construction unit shall not use the failure to complete the audit as a reason for postponing the settlement of project funds or defaulting on project payments. When the project is completed and accepted, the project payment shall be paid according to the mid-term measurement results after the guarantee fund is reserved. For projects that have not completed the settlement of completion, the relevant departments shall not register the property rights.</w:t>
      </w:r>
    </w:p>
    <w:p w14:paraId="41523D8A" w14:textId="77777777" w:rsidR="00EA188B" w:rsidRPr="00EA188B" w:rsidRDefault="00EA188B" w:rsidP="00EA188B">
      <w:pPr>
        <w:widowControl/>
        <w:spacing w:before="100" w:beforeAutospacing="1" w:after="100" w:afterAutospacing="1" w:line="450" w:lineRule="atLeast"/>
        <w:ind w:left="870"/>
        <w:jc w:val="left"/>
        <w:rPr>
          <w:rFonts w:asciiTheme="minorEastAsia" w:hAnsiTheme="minorEastAsia" w:cs="宋体"/>
          <w:color w:val="484848"/>
          <w:kern w:val="0"/>
          <w:sz w:val="28"/>
          <w:szCs w:val="28"/>
        </w:rPr>
      </w:pPr>
      <w:r w:rsidRPr="00EA188B">
        <w:rPr>
          <w:color w:val="484848"/>
          <w:kern w:val="0"/>
          <w:sz w:val="28"/>
          <w:szCs w:val="28"/>
          <w:lang w:val="en"/>
        </w:rPr>
        <w:t>18. Deepen the reform of "decentralization service" in the construction market</w:t>
      </w:r>
    </w:p>
    <w:p w14:paraId="0B0FBC5D" w14:textId="77777777" w:rsidR="00EA188B" w:rsidRPr="00EA188B" w:rsidRDefault="00EA188B" w:rsidP="00EA188B">
      <w:pPr>
        <w:widowControl/>
        <w:spacing w:before="100" w:beforeAutospacing="1" w:after="100" w:afterAutospacing="1" w:line="450" w:lineRule="atLeast"/>
        <w:ind w:left="870"/>
        <w:jc w:val="left"/>
        <w:rPr>
          <w:rFonts w:asciiTheme="minorEastAsia" w:hAnsiTheme="minorEastAsia" w:cs="宋体"/>
          <w:color w:val="484848"/>
          <w:kern w:val="0"/>
          <w:sz w:val="28"/>
          <w:szCs w:val="28"/>
        </w:rPr>
      </w:pPr>
      <w:r w:rsidRPr="00EA188B">
        <w:rPr>
          <w:color w:val="484848"/>
          <w:kern w:val="0"/>
          <w:sz w:val="28"/>
          <w:szCs w:val="28"/>
          <w:lang w:val="en"/>
        </w:rPr>
        <w:t xml:space="preserve">    Taking key industrial production and construction projects as the target, popularize the experience of the "pre-examination agency system", build a pre-examination service system, and help the construction units to achieve synchronous preparation of technical solutions and licensing requirements; through the inclusion of the commitment system and the comprehensive engineering consulting system, strengthen the responsibility of the construction units and technical consulting units to comply with the planning conditions and mandatory standards and norms. Strive to implement the "multi-map joint review" and the provincial "no longer review the map". Establish a parallel approval system for the construction permit stage of construction projects, through optimizing and reengineering the approval process, sharing and associating preconditions, merging and cleaning up the approval links, reducing and compressing the approval time, and fully implementing the paperless declaration of construction permits, the "no-face approval" and the electronic certificate system. Further improve the list of rights and responsibilities, clarify management boundaries and the content of duties, integrate law enforcement forces, improve law enforcement linkage mechanisms, realize the centralized exercise of administrative punishment powers in the field of housing and urban and rural construction, and shift from attaching importance to prior examination and approval to strengthening supervision during and after the event. Improve the establishment of an integrated platform for construction market supervision and creditworthiness information throughout the province, accelerate the establishment of a new type of market supervision mechanism with credit management as the core, include all types of untrustworthy conduct in credit records, publicly disclose them to the outside world, carry out joint disciplinary action, and in accordance with the requirements for the construction of "Internet + government services", bring about interconnection and information sharing with relevant systems such as the Jiangsu government service network, the investment online approval platform, the market supervision information platform, and the Public Credit Information platform, forming trustworthiness and rewards, untrustworthiness being punished, untrustworthiness in one place, A mechanism that is limited everywhere.</w:t>
      </w:r>
    </w:p>
    <w:p w14:paraId="75B9FE78" w14:textId="77777777" w:rsidR="00EA188B" w:rsidRPr="00EA188B" w:rsidRDefault="00EA188B" w:rsidP="00EA188B">
      <w:pPr>
        <w:widowControl/>
        <w:spacing w:before="100" w:beforeAutospacing="1" w:after="100" w:afterAutospacing="1" w:line="450" w:lineRule="atLeast"/>
        <w:ind w:left="870"/>
        <w:jc w:val="left"/>
        <w:rPr>
          <w:rFonts w:asciiTheme="minorEastAsia" w:hAnsiTheme="minorEastAsia" w:cs="宋体"/>
          <w:color w:val="484848"/>
          <w:kern w:val="0"/>
          <w:sz w:val="28"/>
          <w:szCs w:val="28"/>
        </w:rPr>
      </w:pPr>
      <w:r w:rsidRPr="00EA188B">
        <w:rPr>
          <w:color w:val="484848"/>
          <w:kern w:val="0"/>
          <w:sz w:val="28"/>
          <w:szCs w:val="28"/>
          <w:lang w:val="en"/>
        </w:rPr>
        <w:t>19. Support enterprises to "go global" for development</w:t>
      </w:r>
    </w:p>
    <w:p w14:paraId="7B6434C1" w14:textId="77777777" w:rsidR="00EA188B" w:rsidRPr="00EA188B" w:rsidRDefault="00EA188B" w:rsidP="00EA188B">
      <w:pPr>
        <w:widowControl/>
        <w:spacing w:before="100" w:beforeAutospacing="1" w:after="100" w:afterAutospacing="1" w:line="450" w:lineRule="atLeast"/>
        <w:ind w:left="870"/>
        <w:jc w:val="left"/>
        <w:rPr>
          <w:rFonts w:asciiTheme="minorEastAsia" w:hAnsiTheme="minorEastAsia" w:cs="宋体"/>
          <w:color w:val="484848"/>
          <w:kern w:val="0"/>
          <w:sz w:val="28"/>
          <w:szCs w:val="28"/>
        </w:rPr>
      </w:pPr>
      <w:r w:rsidRPr="00EA188B">
        <w:rPr>
          <w:color w:val="484848"/>
          <w:kern w:val="0"/>
          <w:sz w:val="28"/>
          <w:szCs w:val="28"/>
          <w:lang w:val="en"/>
        </w:rPr>
        <w:t xml:space="preserve">    Support construction enterprises to track investment hotspots abroad, especially countries along the "Belt and Road", and implement the "going out" strategy around key regions, key professional fields and key engineering projects. Encourage enterprises to jointly contract large and medium-sized foreign projects through shareholding cooperation, project cooperation, and the formation of consortiums with enterprises in the country where the project is located. Vigorously promote the integration of overseas contracted projects and build operations, and form a linkage output of intelligence, technology, funds, equipment, management, standards and labor. Regularly hold domestic and foreign Jiangsu construction industry enterprise promotion activities to expand the influence of the "Jiangsu Construction" brand. Establish an information data platform for construction enterprises in our province to engage in international construction market activities. For foreign contracted projects, where the contract amount or loan amount exceeds a certain amount, it shall be included in the scope of special fund support for business development. By 2020, the turnover of the international market will strive to double that of the end of the "Twelfth Five-Year Plan".</w:t>
      </w:r>
    </w:p>
    <w:p w14:paraId="4E48D75C" w14:textId="77777777" w:rsidR="00EA188B" w:rsidRPr="00EA188B" w:rsidRDefault="00EA188B" w:rsidP="00EA188B">
      <w:pPr>
        <w:widowControl/>
        <w:spacing w:before="100" w:beforeAutospacing="1" w:after="100" w:afterAutospacing="1" w:line="450" w:lineRule="atLeast"/>
        <w:ind w:left="870"/>
        <w:jc w:val="left"/>
        <w:rPr>
          <w:rFonts w:asciiTheme="minorEastAsia" w:hAnsiTheme="minorEastAsia" w:cs="宋体"/>
          <w:color w:val="484848"/>
          <w:kern w:val="0"/>
          <w:sz w:val="28"/>
          <w:szCs w:val="28"/>
        </w:rPr>
      </w:pPr>
      <w:r w:rsidRPr="00EA188B">
        <w:rPr>
          <w:color w:val="484848"/>
          <w:kern w:val="0"/>
          <w:sz w:val="28"/>
          <w:szCs w:val="28"/>
          <w:lang w:val="en"/>
        </w:rPr>
        <w:t>20. Increase policy support</w:t>
      </w:r>
    </w:p>
    <w:p w14:paraId="5B7AB904" w14:textId="77777777" w:rsidR="00EA188B" w:rsidRPr="00EA188B" w:rsidRDefault="00EA188B" w:rsidP="00EA188B">
      <w:pPr>
        <w:widowControl/>
        <w:spacing w:before="100" w:beforeAutospacing="1" w:after="100" w:afterAutospacing="1" w:line="450" w:lineRule="atLeast"/>
        <w:ind w:left="870"/>
        <w:jc w:val="left"/>
        <w:rPr>
          <w:rFonts w:asciiTheme="minorEastAsia" w:hAnsiTheme="minorEastAsia" w:cs="宋体"/>
          <w:color w:val="484848"/>
          <w:kern w:val="0"/>
          <w:sz w:val="28"/>
          <w:szCs w:val="28"/>
        </w:rPr>
      </w:pPr>
      <w:r>
        <w:rPr>
          <w:color w:val="484848"/>
          <w:kern w:val="0"/>
          <w:sz w:val="28"/>
          <w:szCs w:val="28"/>
          <w:lang w:val="en"/>
        </w:rPr>
        <w:t xml:space="preserve">    </w:t>
      </w:r>
      <w:r w:rsidRPr="00EA188B">
        <w:rPr>
          <w:color w:val="484848"/>
          <w:kern w:val="0"/>
          <w:sz w:val="28"/>
          <w:szCs w:val="28"/>
          <w:lang w:val="en"/>
        </w:rPr>
        <w:t>Research and introduce policies and measures, and focus on cultivating a group of survey and design masters, excellent construction engineers and project management leaders. Actively promote school-enterprise cooperation, guide and encourage college graduates to work in the front line of the construction industry. Increase support for the innovation of building science and technology, and refer to the acquisition of invention patents and construction methodsWith the preparation of national, industry and local standards of enterprises, open up green channels, priority selection of provincial-level or above enterprise technology centers. Encourage qualified design, consulting and other enterprises to declare high-tech enterprises, and implement the pre-tax deduction policy for research and development expenses incurred by construction enterprises in accordance with regulations. For the part of the construction enterprises identified as high-tech enterprises that do not exceed 8% of the total wages and salaries, the part of the construction enterprise that is recognized as a high-tech enterprise shall be allowed to be deducted when calculating the taxable income of the enterprise income tax, and the excess part shall be allowed to be carried forward in the following tax year. According to the comprehensive R&amp;D incentive fund support conditions provided by relevant departments and the R&amp;D investment of construction enterprises, the provincial finance will give 5%-10% inclusive incentives. Strengthen the leading role of standards in scientific and technological innovation in the construction industry, and for local standards for engineering construction involving quality and safety, environmental protection and energy conservation, the preparation funds will be guaranteed by relevant special funds at the provincial level. Enterprises are encouraged to standardize the accounting of income items such as wages and salaries and labor remuneration, accurately declare the full withholding details of all employees in accordance with the law, and approve and collect the construction enterprises in different places that cannot accurately make the full withholding detailed declaration of all employees according to a certain proportion of the project price. Increase financial support, give full play to the role of government investment funds such as smart building funds and "Belt and Road" investment funds, and guide social capital into key areas and key links of the construction industry. Encourage policy banks to support construction enterprises to "go global", and strive to solve the problems of special funds for the issuance of guarantee risks in foreign contracting projects in our province. Financial institutions should adopt measures for construction enterprisesDifferentiated creditThe policy provides credit support to enterprises with good operating conditions and good reputation in the industry by carrying out construction contract financing loans, accounts receivable financing loans and other businesses. Support construction enterprises that meet the conditions of the "Jiangsu Construction 2025" development strategy, and use multi-level capital market listing, listing and bond issuance to directly raise funds.</w:t>
      </w:r>
    </w:p>
    <w:p w14:paraId="0E18AB11" w14:textId="77777777" w:rsidR="00EA188B" w:rsidRPr="00EA188B" w:rsidRDefault="00EA188B" w:rsidP="00EA188B">
      <w:pPr>
        <w:widowControl/>
        <w:spacing w:before="100" w:beforeAutospacing="1" w:after="100" w:afterAutospacing="1" w:line="450" w:lineRule="atLeast"/>
        <w:ind w:left="870"/>
        <w:jc w:val="left"/>
        <w:rPr>
          <w:rFonts w:asciiTheme="minorEastAsia" w:hAnsiTheme="minorEastAsia" w:cs="宋体"/>
          <w:color w:val="484848"/>
          <w:kern w:val="0"/>
          <w:sz w:val="28"/>
          <w:szCs w:val="28"/>
        </w:rPr>
      </w:pPr>
      <w:r w:rsidRPr="00EA188B">
        <w:rPr>
          <w:color w:val="484848"/>
          <w:kern w:val="0"/>
          <w:sz w:val="28"/>
          <w:szCs w:val="28"/>
          <w:lang w:val="en"/>
        </w:rPr>
        <w:t>All localities should attach great importance to the reform and development of the construction industry, and study and formulate supporting policies for deepening the reform of the construction industry and supporting the development of the construction industry in light of actual conditions. The relevant departments of the province and all districted cities should establish a comprehensive assessment index system for the reform and development of the construction industry, release evaluation reports including the construction industry, project quality and safety, market operation, structural optimization, transformation and development, business environment, etc., and give full play to the positive role of industry associations in standardizing market order and promoting the integrity of enterprises, and the exemplary and leading role of building strong cities and strong construction counties.</w:t>
      </w:r>
    </w:p>
    <w:p w14:paraId="63677222" w14:textId="77777777" w:rsidR="00EA188B" w:rsidRPr="00EA188B" w:rsidRDefault="00EA188B" w:rsidP="00EA188B">
      <w:pPr>
        <w:widowControl/>
        <w:spacing w:before="100" w:beforeAutospacing="1" w:after="100" w:afterAutospacing="1" w:line="450" w:lineRule="atLeast"/>
        <w:ind w:left="870"/>
        <w:jc w:val="right"/>
        <w:rPr>
          <w:rFonts w:asciiTheme="minorEastAsia" w:hAnsiTheme="minorEastAsia" w:cs="宋体"/>
          <w:color w:val="484848"/>
          <w:kern w:val="0"/>
          <w:sz w:val="28"/>
          <w:szCs w:val="28"/>
        </w:rPr>
      </w:pPr>
      <w:r w:rsidRPr="00EA188B">
        <w:rPr>
          <w:color w:val="484848"/>
          <w:kern w:val="0"/>
          <w:sz w:val="28"/>
          <w:szCs w:val="28"/>
          <w:lang w:val="en"/>
        </w:rPr>
        <w:t>People's Government of Jiangsu Province</w:t>
      </w:r>
    </w:p>
    <w:p w14:paraId="12925CB8" w14:textId="77777777" w:rsidR="00EA188B" w:rsidRPr="00EA188B" w:rsidRDefault="00EA188B" w:rsidP="00EA188B">
      <w:pPr>
        <w:widowControl/>
        <w:spacing w:before="100" w:beforeAutospacing="1" w:after="100" w:afterAutospacing="1" w:line="450" w:lineRule="atLeast"/>
        <w:ind w:left="870"/>
        <w:jc w:val="right"/>
        <w:rPr>
          <w:rFonts w:asciiTheme="minorEastAsia" w:hAnsiTheme="minorEastAsia" w:cs="宋体"/>
          <w:color w:val="484848"/>
          <w:kern w:val="0"/>
          <w:sz w:val="28"/>
          <w:szCs w:val="28"/>
        </w:rPr>
      </w:pPr>
      <w:r w:rsidRPr="00EA188B">
        <w:rPr>
          <w:color w:val="484848"/>
          <w:kern w:val="0"/>
          <w:sz w:val="28"/>
          <w:szCs w:val="28"/>
          <w:lang w:val="en"/>
        </w:rPr>
        <w:t>November 24, 2017</w:t>
      </w:r>
    </w:p>
    <w:p w14:paraId="13FBB492" w14:textId="10B8FFBF" w:rsidR="00215FB7" w:rsidRPr="00EA188B" w:rsidRDefault="00215FB7">
      <w:pPr>
        <w:rPr>
          <w:rFonts w:asciiTheme="minorEastAsia" w:hAnsiTheme="minorEastAsia"/>
          <w:sz w:val="28"/>
          <w:szCs w:val="28"/>
        </w:rPr>
      </w:pPr>
    </w:p>
    <w:sectPr w:rsidR="00215FB7" w:rsidRPr="00EA188B" w:rsidSect="00EA188B">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FB3959"/>
    <w:multiLevelType w:val="multilevel"/>
    <w:tmpl w:val="9FA2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47410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88B"/>
    <w:rsid w:val="00215FB7"/>
    <w:rsid w:val="003D3CB5"/>
    <w:rsid w:val="007E0281"/>
    <w:rsid w:val="00EA18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881F9"/>
  <w15:docId w15:val="{4855B0EF-B4CE-4B49-B724-C47128B55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5F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E02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591590">
      <w:bodyDiv w:val="1"/>
      <w:marLeft w:val="0"/>
      <w:marRight w:val="0"/>
      <w:marTop w:val="0"/>
      <w:marBottom w:val="0"/>
      <w:divBdr>
        <w:top w:val="none" w:sz="0" w:space="0" w:color="auto"/>
        <w:left w:val="none" w:sz="0" w:space="0" w:color="auto"/>
        <w:bottom w:val="none" w:sz="0" w:space="0" w:color="auto"/>
        <w:right w:val="none" w:sz="0" w:space="0" w:color="auto"/>
      </w:divBdr>
      <w:divsChild>
        <w:div w:id="406345228">
          <w:marLeft w:val="0"/>
          <w:marRight w:val="0"/>
          <w:marTop w:val="0"/>
          <w:marBottom w:val="0"/>
          <w:divBdr>
            <w:top w:val="none" w:sz="0" w:space="0" w:color="auto"/>
            <w:left w:val="none" w:sz="0" w:space="0" w:color="auto"/>
            <w:bottom w:val="none" w:sz="0" w:space="0" w:color="auto"/>
            <w:right w:val="none" w:sz="0" w:space="0" w:color="auto"/>
          </w:divBdr>
          <w:divsChild>
            <w:div w:id="954022500">
              <w:marLeft w:val="0"/>
              <w:marRight w:val="0"/>
              <w:marTop w:val="0"/>
              <w:marBottom w:val="0"/>
              <w:divBdr>
                <w:top w:val="none" w:sz="0" w:space="0" w:color="auto"/>
                <w:left w:val="none" w:sz="0" w:space="0" w:color="auto"/>
                <w:bottom w:val="none" w:sz="0" w:space="0" w:color="auto"/>
                <w:right w:val="none" w:sz="0" w:space="0" w:color="auto"/>
              </w:divBdr>
              <w:divsChild>
                <w:div w:id="1053037370">
                  <w:marLeft w:val="0"/>
                  <w:marRight w:val="0"/>
                  <w:marTop w:val="0"/>
                  <w:marBottom w:val="0"/>
                  <w:divBdr>
                    <w:top w:val="none" w:sz="0" w:space="0" w:color="auto"/>
                    <w:left w:val="none" w:sz="0" w:space="0" w:color="auto"/>
                    <w:bottom w:val="none" w:sz="0" w:space="0" w:color="auto"/>
                    <w:right w:val="none" w:sz="0" w:space="0" w:color="auto"/>
                  </w:divBdr>
                  <w:divsChild>
                    <w:div w:id="1577205436">
                      <w:marLeft w:val="0"/>
                      <w:marRight w:val="0"/>
                      <w:marTop w:val="0"/>
                      <w:marBottom w:val="0"/>
                      <w:divBdr>
                        <w:top w:val="none" w:sz="0" w:space="0" w:color="auto"/>
                        <w:left w:val="none" w:sz="0" w:space="0" w:color="auto"/>
                        <w:bottom w:val="none" w:sz="0" w:space="0" w:color="auto"/>
                        <w:right w:val="none" w:sz="0" w:space="0" w:color="auto"/>
                      </w:divBdr>
                      <w:divsChild>
                        <w:div w:id="1035547023">
                          <w:marLeft w:val="0"/>
                          <w:marRight w:val="0"/>
                          <w:marTop w:val="0"/>
                          <w:marBottom w:val="150"/>
                          <w:divBdr>
                            <w:top w:val="single" w:sz="6" w:space="0" w:color="DDDDDD"/>
                            <w:left w:val="single" w:sz="6" w:space="0" w:color="DDDDDD"/>
                            <w:bottom w:val="single" w:sz="6" w:space="0" w:color="DDDDDD"/>
                            <w:right w:val="single" w:sz="6" w:space="0" w:color="DDDDDD"/>
                          </w:divBdr>
                          <w:divsChild>
                            <w:div w:id="685447470">
                              <w:marLeft w:val="0"/>
                              <w:marRight w:val="0"/>
                              <w:marTop w:val="150"/>
                              <w:marBottom w:val="100"/>
                              <w:divBdr>
                                <w:top w:val="none" w:sz="0" w:space="0" w:color="auto"/>
                                <w:left w:val="none" w:sz="0" w:space="0" w:color="auto"/>
                                <w:bottom w:val="none" w:sz="0" w:space="0" w:color="auto"/>
                                <w:right w:val="none" w:sz="0" w:space="0" w:color="auto"/>
                              </w:divBdr>
                            </w:div>
                            <w:div w:id="2087532714">
                              <w:marLeft w:val="150"/>
                              <w:marRight w:val="0"/>
                              <w:marTop w:val="0"/>
                              <w:marBottom w:val="75"/>
                              <w:divBdr>
                                <w:top w:val="single" w:sz="6" w:space="0" w:color="DDDDDD"/>
                                <w:left w:val="none" w:sz="0" w:space="0" w:color="auto"/>
                                <w:bottom w:val="none" w:sz="0" w:space="0" w:color="auto"/>
                                <w:right w:val="none" w:sz="0" w:space="0" w:color="auto"/>
                              </w:divBdr>
                            </w:div>
                            <w:div w:id="806048972">
                              <w:marLeft w:val="150"/>
                              <w:marRight w:val="0"/>
                              <w:marTop w:val="300"/>
                              <w:marBottom w:val="150"/>
                              <w:divBdr>
                                <w:top w:val="none" w:sz="0" w:space="0" w:color="auto"/>
                                <w:left w:val="none" w:sz="0" w:space="0" w:color="auto"/>
                                <w:bottom w:val="none" w:sz="0" w:space="0" w:color="auto"/>
                                <w:right w:val="none" w:sz="0" w:space="0" w:color="auto"/>
                              </w:divBdr>
                              <w:divsChild>
                                <w:div w:id="1906718750">
                                  <w:marLeft w:val="0"/>
                                  <w:marRight w:val="0"/>
                                  <w:marTop w:val="0"/>
                                  <w:marBottom w:val="0"/>
                                  <w:divBdr>
                                    <w:top w:val="none" w:sz="0" w:space="0" w:color="auto"/>
                                    <w:left w:val="none" w:sz="0" w:space="0" w:color="auto"/>
                                    <w:bottom w:val="none" w:sz="0" w:space="0" w:color="auto"/>
                                    <w:right w:val="none" w:sz="0" w:space="0" w:color="auto"/>
                                  </w:divBdr>
                                </w:div>
                                <w:div w:id="1595819718">
                                  <w:marLeft w:val="0"/>
                                  <w:marRight w:val="0"/>
                                  <w:marTop w:val="0"/>
                                  <w:marBottom w:val="0"/>
                                  <w:divBdr>
                                    <w:top w:val="none" w:sz="0" w:space="0" w:color="auto"/>
                                    <w:left w:val="none" w:sz="0" w:space="0" w:color="auto"/>
                                    <w:bottom w:val="none" w:sz="0" w:space="0" w:color="auto"/>
                                    <w:right w:val="none" w:sz="0" w:space="0" w:color="auto"/>
                                  </w:divBdr>
                                </w:div>
                                <w:div w:id="1052656383">
                                  <w:marLeft w:val="0"/>
                                  <w:marRight w:val="0"/>
                                  <w:marTop w:val="0"/>
                                  <w:marBottom w:val="0"/>
                                  <w:divBdr>
                                    <w:top w:val="none" w:sz="0" w:space="0" w:color="auto"/>
                                    <w:left w:val="none" w:sz="0" w:space="0" w:color="auto"/>
                                    <w:bottom w:val="none" w:sz="0" w:space="0" w:color="auto"/>
                                    <w:right w:val="none" w:sz="0" w:space="0" w:color="auto"/>
                                  </w:divBdr>
                                </w:div>
                                <w:div w:id="1114985048">
                                  <w:marLeft w:val="0"/>
                                  <w:marRight w:val="0"/>
                                  <w:marTop w:val="0"/>
                                  <w:marBottom w:val="0"/>
                                  <w:divBdr>
                                    <w:top w:val="none" w:sz="0" w:space="0" w:color="auto"/>
                                    <w:left w:val="none" w:sz="0" w:space="0" w:color="auto"/>
                                    <w:bottom w:val="none" w:sz="0" w:space="0" w:color="auto"/>
                                    <w:right w:val="none" w:sz="0" w:space="0" w:color="auto"/>
                                  </w:divBdr>
                                </w:div>
                                <w:div w:id="201287045">
                                  <w:marLeft w:val="0"/>
                                  <w:marRight w:val="0"/>
                                  <w:marTop w:val="0"/>
                                  <w:marBottom w:val="0"/>
                                  <w:divBdr>
                                    <w:top w:val="none" w:sz="0" w:space="0" w:color="auto"/>
                                    <w:left w:val="none" w:sz="0" w:space="0" w:color="auto"/>
                                    <w:bottom w:val="none" w:sz="0" w:space="0" w:color="auto"/>
                                    <w:right w:val="none" w:sz="0" w:space="0" w:color="auto"/>
                                  </w:divBdr>
                                </w:div>
                                <w:div w:id="1284732293">
                                  <w:marLeft w:val="0"/>
                                  <w:marRight w:val="0"/>
                                  <w:marTop w:val="0"/>
                                  <w:marBottom w:val="0"/>
                                  <w:divBdr>
                                    <w:top w:val="none" w:sz="0" w:space="0" w:color="auto"/>
                                    <w:left w:val="none" w:sz="0" w:space="0" w:color="auto"/>
                                    <w:bottom w:val="none" w:sz="0" w:space="0" w:color="auto"/>
                                    <w:right w:val="none" w:sz="0" w:space="0" w:color="auto"/>
                                  </w:divBdr>
                                </w:div>
                                <w:div w:id="670184009">
                                  <w:marLeft w:val="0"/>
                                  <w:marRight w:val="0"/>
                                  <w:marTop w:val="0"/>
                                  <w:marBottom w:val="0"/>
                                  <w:divBdr>
                                    <w:top w:val="none" w:sz="0" w:space="0" w:color="auto"/>
                                    <w:left w:val="none" w:sz="0" w:space="0" w:color="auto"/>
                                    <w:bottom w:val="none" w:sz="0" w:space="0" w:color="auto"/>
                                    <w:right w:val="none" w:sz="0" w:space="0" w:color="auto"/>
                                  </w:divBdr>
                                </w:div>
                                <w:div w:id="778141495">
                                  <w:marLeft w:val="0"/>
                                  <w:marRight w:val="0"/>
                                  <w:marTop w:val="0"/>
                                  <w:marBottom w:val="0"/>
                                  <w:divBdr>
                                    <w:top w:val="none" w:sz="0" w:space="0" w:color="auto"/>
                                    <w:left w:val="none" w:sz="0" w:space="0" w:color="auto"/>
                                    <w:bottom w:val="none" w:sz="0" w:space="0" w:color="auto"/>
                                    <w:right w:val="none" w:sz="0" w:space="0" w:color="auto"/>
                                  </w:divBdr>
                                </w:div>
                                <w:div w:id="502206923">
                                  <w:marLeft w:val="0"/>
                                  <w:marRight w:val="0"/>
                                  <w:marTop w:val="0"/>
                                  <w:marBottom w:val="0"/>
                                  <w:divBdr>
                                    <w:top w:val="none" w:sz="0" w:space="0" w:color="auto"/>
                                    <w:left w:val="none" w:sz="0" w:space="0" w:color="auto"/>
                                    <w:bottom w:val="none" w:sz="0" w:space="0" w:color="auto"/>
                                    <w:right w:val="none" w:sz="0" w:space="0" w:color="auto"/>
                                  </w:divBdr>
                                </w:div>
                                <w:div w:id="562718812">
                                  <w:marLeft w:val="0"/>
                                  <w:marRight w:val="0"/>
                                  <w:marTop w:val="0"/>
                                  <w:marBottom w:val="0"/>
                                  <w:divBdr>
                                    <w:top w:val="none" w:sz="0" w:space="0" w:color="auto"/>
                                    <w:left w:val="none" w:sz="0" w:space="0" w:color="auto"/>
                                    <w:bottom w:val="none" w:sz="0" w:space="0" w:color="auto"/>
                                    <w:right w:val="none" w:sz="0" w:space="0" w:color="auto"/>
                                  </w:divBdr>
                                </w:div>
                                <w:div w:id="747651934">
                                  <w:marLeft w:val="0"/>
                                  <w:marRight w:val="0"/>
                                  <w:marTop w:val="0"/>
                                  <w:marBottom w:val="0"/>
                                  <w:divBdr>
                                    <w:top w:val="none" w:sz="0" w:space="0" w:color="auto"/>
                                    <w:left w:val="none" w:sz="0" w:space="0" w:color="auto"/>
                                    <w:bottom w:val="none" w:sz="0" w:space="0" w:color="auto"/>
                                    <w:right w:val="none" w:sz="0" w:space="0" w:color="auto"/>
                                  </w:divBdr>
                                </w:div>
                                <w:div w:id="272710707">
                                  <w:marLeft w:val="0"/>
                                  <w:marRight w:val="0"/>
                                  <w:marTop w:val="0"/>
                                  <w:marBottom w:val="0"/>
                                  <w:divBdr>
                                    <w:top w:val="none" w:sz="0" w:space="0" w:color="auto"/>
                                    <w:left w:val="none" w:sz="0" w:space="0" w:color="auto"/>
                                    <w:bottom w:val="none" w:sz="0" w:space="0" w:color="auto"/>
                                    <w:right w:val="none" w:sz="0" w:space="0" w:color="auto"/>
                                  </w:divBdr>
                                </w:div>
                                <w:div w:id="101996533">
                                  <w:marLeft w:val="0"/>
                                  <w:marRight w:val="0"/>
                                  <w:marTop w:val="0"/>
                                  <w:marBottom w:val="0"/>
                                  <w:divBdr>
                                    <w:top w:val="none" w:sz="0" w:space="0" w:color="auto"/>
                                    <w:left w:val="none" w:sz="0" w:space="0" w:color="auto"/>
                                    <w:bottom w:val="none" w:sz="0" w:space="0" w:color="auto"/>
                                    <w:right w:val="none" w:sz="0" w:space="0" w:color="auto"/>
                                  </w:divBdr>
                                </w:div>
                                <w:div w:id="1820271211">
                                  <w:marLeft w:val="0"/>
                                  <w:marRight w:val="0"/>
                                  <w:marTop w:val="0"/>
                                  <w:marBottom w:val="0"/>
                                  <w:divBdr>
                                    <w:top w:val="none" w:sz="0" w:space="0" w:color="auto"/>
                                    <w:left w:val="none" w:sz="0" w:space="0" w:color="auto"/>
                                    <w:bottom w:val="none" w:sz="0" w:space="0" w:color="auto"/>
                                    <w:right w:val="none" w:sz="0" w:space="0" w:color="auto"/>
                                  </w:divBdr>
                                </w:div>
                                <w:div w:id="2132162631">
                                  <w:marLeft w:val="0"/>
                                  <w:marRight w:val="0"/>
                                  <w:marTop w:val="0"/>
                                  <w:marBottom w:val="0"/>
                                  <w:divBdr>
                                    <w:top w:val="none" w:sz="0" w:space="0" w:color="auto"/>
                                    <w:left w:val="none" w:sz="0" w:space="0" w:color="auto"/>
                                    <w:bottom w:val="none" w:sz="0" w:space="0" w:color="auto"/>
                                    <w:right w:val="none" w:sz="0" w:space="0" w:color="auto"/>
                                  </w:divBdr>
                                </w:div>
                                <w:div w:id="663898080">
                                  <w:marLeft w:val="0"/>
                                  <w:marRight w:val="0"/>
                                  <w:marTop w:val="0"/>
                                  <w:marBottom w:val="0"/>
                                  <w:divBdr>
                                    <w:top w:val="none" w:sz="0" w:space="0" w:color="auto"/>
                                    <w:left w:val="none" w:sz="0" w:space="0" w:color="auto"/>
                                    <w:bottom w:val="none" w:sz="0" w:space="0" w:color="auto"/>
                                    <w:right w:val="none" w:sz="0" w:space="0" w:color="auto"/>
                                  </w:divBdr>
                                </w:div>
                                <w:div w:id="130246526">
                                  <w:marLeft w:val="0"/>
                                  <w:marRight w:val="0"/>
                                  <w:marTop w:val="0"/>
                                  <w:marBottom w:val="0"/>
                                  <w:divBdr>
                                    <w:top w:val="none" w:sz="0" w:space="0" w:color="auto"/>
                                    <w:left w:val="none" w:sz="0" w:space="0" w:color="auto"/>
                                    <w:bottom w:val="none" w:sz="0" w:space="0" w:color="auto"/>
                                    <w:right w:val="none" w:sz="0" w:space="0" w:color="auto"/>
                                  </w:divBdr>
                                </w:div>
                                <w:div w:id="1653949917">
                                  <w:marLeft w:val="0"/>
                                  <w:marRight w:val="0"/>
                                  <w:marTop w:val="0"/>
                                  <w:marBottom w:val="0"/>
                                  <w:divBdr>
                                    <w:top w:val="none" w:sz="0" w:space="0" w:color="auto"/>
                                    <w:left w:val="none" w:sz="0" w:space="0" w:color="auto"/>
                                    <w:bottom w:val="none" w:sz="0" w:space="0" w:color="auto"/>
                                    <w:right w:val="none" w:sz="0" w:space="0" w:color="auto"/>
                                  </w:divBdr>
                                </w:div>
                                <w:div w:id="1033728104">
                                  <w:marLeft w:val="0"/>
                                  <w:marRight w:val="0"/>
                                  <w:marTop w:val="0"/>
                                  <w:marBottom w:val="0"/>
                                  <w:divBdr>
                                    <w:top w:val="none" w:sz="0" w:space="0" w:color="auto"/>
                                    <w:left w:val="none" w:sz="0" w:space="0" w:color="auto"/>
                                    <w:bottom w:val="none" w:sz="0" w:space="0" w:color="auto"/>
                                    <w:right w:val="none" w:sz="0" w:space="0" w:color="auto"/>
                                  </w:divBdr>
                                </w:div>
                                <w:div w:id="2107529496">
                                  <w:marLeft w:val="0"/>
                                  <w:marRight w:val="0"/>
                                  <w:marTop w:val="0"/>
                                  <w:marBottom w:val="0"/>
                                  <w:divBdr>
                                    <w:top w:val="none" w:sz="0" w:space="0" w:color="auto"/>
                                    <w:left w:val="none" w:sz="0" w:space="0" w:color="auto"/>
                                    <w:bottom w:val="none" w:sz="0" w:space="0" w:color="auto"/>
                                    <w:right w:val="none" w:sz="0" w:space="0" w:color="auto"/>
                                  </w:divBdr>
                                </w:div>
                                <w:div w:id="127826761">
                                  <w:marLeft w:val="0"/>
                                  <w:marRight w:val="0"/>
                                  <w:marTop w:val="0"/>
                                  <w:marBottom w:val="0"/>
                                  <w:divBdr>
                                    <w:top w:val="none" w:sz="0" w:space="0" w:color="auto"/>
                                    <w:left w:val="none" w:sz="0" w:space="0" w:color="auto"/>
                                    <w:bottom w:val="none" w:sz="0" w:space="0" w:color="auto"/>
                                    <w:right w:val="none" w:sz="0" w:space="0" w:color="auto"/>
                                  </w:divBdr>
                                </w:div>
                                <w:div w:id="975716587">
                                  <w:marLeft w:val="0"/>
                                  <w:marRight w:val="0"/>
                                  <w:marTop w:val="0"/>
                                  <w:marBottom w:val="0"/>
                                  <w:divBdr>
                                    <w:top w:val="none" w:sz="0" w:space="0" w:color="auto"/>
                                    <w:left w:val="none" w:sz="0" w:space="0" w:color="auto"/>
                                    <w:bottom w:val="none" w:sz="0" w:space="0" w:color="auto"/>
                                    <w:right w:val="none" w:sz="0" w:space="0" w:color="auto"/>
                                  </w:divBdr>
                                </w:div>
                                <w:div w:id="539902119">
                                  <w:marLeft w:val="0"/>
                                  <w:marRight w:val="0"/>
                                  <w:marTop w:val="0"/>
                                  <w:marBottom w:val="0"/>
                                  <w:divBdr>
                                    <w:top w:val="none" w:sz="0" w:space="0" w:color="auto"/>
                                    <w:left w:val="none" w:sz="0" w:space="0" w:color="auto"/>
                                    <w:bottom w:val="none" w:sz="0" w:space="0" w:color="auto"/>
                                    <w:right w:val="none" w:sz="0" w:space="0" w:color="auto"/>
                                  </w:divBdr>
                                </w:div>
                                <w:div w:id="1673221877">
                                  <w:marLeft w:val="0"/>
                                  <w:marRight w:val="0"/>
                                  <w:marTop w:val="0"/>
                                  <w:marBottom w:val="0"/>
                                  <w:divBdr>
                                    <w:top w:val="none" w:sz="0" w:space="0" w:color="auto"/>
                                    <w:left w:val="none" w:sz="0" w:space="0" w:color="auto"/>
                                    <w:bottom w:val="none" w:sz="0" w:space="0" w:color="auto"/>
                                    <w:right w:val="none" w:sz="0" w:space="0" w:color="auto"/>
                                  </w:divBdr>
                                </w:div>
                                <w:div w:id="602108255">
                                  <w:marLeft w:val="0"/>
                                  <w:marRight w:val="0"/>
                                  <w:marTop w:val="0"/>
                                  <w:marBottom w:val="0"/>
                                  <w:divBdr>
                                    <w:top w:val="none" w:sz="0" w:space="0" w:color="auto"/>
                                    <w:left w:val="none" w:sz="0" w:space="0" w:color="auto"/>
                                    <w:bottom w:val="none" w:sz="0" w:space="0" w:color="auto"/>
                                    <w:right w:val="none" w:sz="0" w:space="0" w:color="auto"/>
                                  </w:divBdr>
                                </w:div>
                                <w:div w:id="1623684661">
                                  <w:marLeft w:val="0"/>
                                  <w:marRight w:val="0"/>
                                  <w:marTop w:val="0"/>
                                  <w:marBottom w:val="0"/>
                                  <w:divBdr>
                                    <w:top w:val="none" w:sz="0" w:space="0" w:color="auto"/>
                                    <w:left w:val="none" w:sz="0" w:space="0" w:color="auto"/>
                                    <w:bottom w:val="none" w:sz="0" w:space="0" w:color="auto"/>
                                    <w:right w:val="none" w:sz="0" w:space="0" w:color="auto"/>
                                  </w:divBdr>
                                </w:div>
                                <w:div w:id="2034067002">
                                  <w:marLeft w:val="0"/>
                                  <w:marRight w:val="0"/>
                                  <w:marTop w:val="0"/>
                                  <w:marBottom w:val="0"/>
                                  <w:divBdr>
                                    <w:top w:val="none" w:sz="0" w:space="0" w:color="auto"/>
                                    <w:left w:val="none" w:sz="0" w:space="0" w:color="auto"/>
                                    <w:bottom w:val="none" w:sz="0" w:space="0" w:color="auto"/>
                                    <w:right w:val="none" w:sz="0" w:space="0" w:color="auto"/>
                                  </w:divBdr>
                                </w:div>
                                <w:div w:id="1838885746">
                                  <w:marLeft w:val="0"/>
                                  <w:marRight w:val="0"/>
                                  <w:marTop w:val="0"/>
                                  <w:marBottom w:val="0"/>
                                  <w:divBdr>
                                    <w:top w:val="none" w:sz="0" w:space="0" w:color="auto"/>
                                    <w:left w:val="none" w:sz="0" w:space="0" w:color="auto"/>
                                    <w:bottom w:val="none" w:sz="0" w:space="0" w:color="auto"/>
                                    <w:right w:val="none" w:sz="0" w:space="0" w:color="auto"/>
                                  </w:divBdr>
                                </w:div>
                                <w:div w:id="1075738926">
                                  <w:marLeft w:val="0"/>
                                  <w:marRight w:val="0"/>
                                  <w:marTop w:val="0"/>
                                  <w:marBottom w:val="0"/>
                                  <w:divBdr>
                                    <w:top w:val="none" w:sz="0" w:space="0" w:color="auto"/>
                                    <w:left w:val="none" w:sz="0" w:space="0" w:color="auto"/>
                                    <w:bottom w:val="none" w:sz="0" w:space="0" w:color="auto"/>
                                    <w:right w:val="none" w:sz="0" w:space="0" w:color="auto"/>
                                  </w:divBdr>
                                </w:div>
                                <w:div w:id="2051177842">
                                  <w:marLeft w:val="0"/>
                                  <w:marRight w:val="0"/>
                                  <w:marTop w:val="0"/>
                                  <w:marBottom w:val="0"/>
                                  <w:divBdr>
                                    <w:top w:val="none" w:sz="0" w:space="0" w:color="auto"/>
                                    <w:left w:val="none" w:sz="0" w:space="0" w:color="auto"/>
                                    <w:bottom w:val="none" w:sz="0" w:space="0" w:color="auto"/>
                                    <w:right w:val="none" w:sz="0" w:space="0" w:color="auto"/>
                                  </w:divBdr>
                                </w:div>
                                <w:div w:id="677804900">
                                  <w:marLeft w:val="0"/>
                                  <w:marRight w:val="0"/>
                                  <w:marTop w:val="0"/>
                                  <w:marBottom w:val="0"/>
                                  <w:divBdr>
                                    <w:top w:val="none" w:sz="0" w:space="0" w:color="auto"/>
                                    <w:left w:val="none" w:sz="0" w:space="0" w:color="auto"/>
                                    <w:bottom w:val="none" w:sz="0" w:space="0" w:color="auto"/>
                                    <w:right w:val="none" w:sz="0" w:space="0" w:color="auto"/>
                                  </w:divBdr>
                                </w:div>
                                <w:div w:id="1628198896">
                                  <w:marLeft w:val="0"/>
                                  <w:marRight w:val="0"/>
                                  <w:marTop w:val="0"/>
                                  <w:marBottom w:val="0"/>
                                  <w:divBdr>
                                    <w:top w:val="none" w:sz="0" w:space="0" w:color="auto"/>
                                    <w:left w:val="none" w:sz="0" w:space="0" w:color="auto"/>
                                    <w:bottom w:val="none" w:sz="0" w:space="0" w:color="auto"/>
                                    <w:right w:val="none" w:sz="0" w:space="0" w:color="auto"/>
                                  </w:divBdr>
                                </w:div>
                                <w:div w:id="951744681">
                                  <w:marLeft w:val="0"/>
                                  <w:marRight w:val="0"/>
                                  <w:marTop w:val="0"/>
                                  <w:marBottom w:val="0"/>
                                  <w:divBdr>
                                    <w:top w:val="none" w:sz="0" w:space="0" w:color="auto"/>
                                    <w:left w:val="none" w:sz="0" w:space="0" w:color="auto"/>
                                    <w:bottom w:val="none" w:sz="0" w:space="0" w:color="auto"/>
                                    <w:right w:val="none" w:sz="0" w:space="0" w:color="auto"/>
                                  </w:divBdr>
                                </w:div>
                                <w:div w:id="670717015">
                                  <w:marLeft w:val="0"/>
                                  <w:marRight w:val="0"/>
                                  <w:marTop w:val="0"/>
                                  <w:marBottom w:val="0"/>
                                  <w:divBdr>
                                    <w:top w:val="none" w:sz="0" w:space="0" w:color="auto"/>
                                    <w:left w:val="none" w:sz="0" w:space="0" w:color="auto"/>
                                    <w:bottom w:val="none" w:sz="0" w:space="0" w:color="auto"/>
                                    <w:right w:val="none" w:sz="0" w:space="0" w:color="auto"/>
                                  </w:divBdr>
                                </w:div>
                                <w:div w:id="996227402">
                                  <w:marLeft w:val="0"/>
                                  <w:marRight w:val="0"/>
                                  <w:marTop w:val="0"/>
                                  <w:marBottom w:val="0"/>
                                  <w:divBdr>
                                    <w:top w:val="none" w:sz="0" w:space="0" w:color="auto"/>
                                    <w:left w:val="none" w:sz="0" w:space="0" w:color="auto"/>
                                    <w:bottom w:val="none" w:sz="0" w:space="0" w:color="auto"/>
                                    <w:right w:val="none" w:sz="0" w:space="0" w:color="auto"/>
                                  </w:divBdr>
                                </w:div>
                                <w:div w:id="1619216766">
                                  <w:marLeft w:val="0"/>
                                  <w:marRight w:val="0"/>
                                  <w:marTop w:val="0"/>
                                  <w:marBottom w:val="0"/>
                                  <w:divBdr>
                                    <w:top w:val="none" w:sz="0" w:space="0" w:color="auto"/>
                                    <w:left w:val="none" w:sz="0" w:space="0" w:color="auto"/>
                                    <w:bottom w:val="none" w:sz="0" w:space="0" w:color="auto"/>
                                    <w:right w:val="none" w:sz="0" w:space="0" w:color="auto"/>
                                  </w:divBdr>
                                </w:div>
                                <w:div w:id="356389997">
                                  <w:marLeft w:val="0"/>
                                  <w:marRight w:val="0"/>
                                  <w:marTop w:val="0"/>
                                  <w:marBottom w:val="0"/>
                                  <w:divBdr>
                                    <w:top w:val="none" w:sz="0" w:space="0" w:color="auto"/>
                                    <w:left w:val="none" w:sz="0" w:space="0" w:color="auto"/>
                                    <w:bottom w:val="none" w:sz="0" w:space="0" w:color="auto"/>
                                    <w:right w:val="none" w:sz="0" w:space="0" w:color="auto"/>
                                  </w:divBdr>
                                </w:div>
                                <w:div w:id="363291749">
                                  <w:marLeft w:val="0"/>
                                  <w:marRight w:val="0"/>
                                  <w:marTop w:val="0"/>
                                  <w:marBottom w:val="0"/>
                                  <w:divBdr>
                                    <w:top w:val="none" w:sz="0" w:space="0" w:color="auto"/>
                                    <w:left w:val="none" w:sz="0" w:space="0" w:color="auto"/>
                                    <w:bottom w:val="none" w:sz="0" w:space="0" w:color="auto"/>
                                    <w:right w:val="none" w:sz="0" w:space="0" w:color="auto"/>
                                  </w:divBdr>
                                </w:div>
                                <w:div w:id="777481888">
                                  <w:marLeft w:val="0"/>
                                  <w:marRight w:val="0"/>
                                  <w:marTop w:val="0"/>
                                  <w:marBottom w:val="0"/>
                                  <w:divBdr>
                                    <w:top w:val="none" w:sz="0" w:space="0" w:color="auto"/>
                                    <w:left w:val="none" w:sz="0" w:space="0" w:color="auto"/>
                                    <w:bottom w:val="none" w:sz="0" w:space="0" w:color="auto"/>
                                    <w:right w:val="none" w:sz="0" w:space="0" w:color="auto"/>
                                  </w:divBdr>
                                </w:div>
                                <w:div w:id="398403833">
                                  <w:marLeft w:val="0"/>
                                  <w:marRight w:val="0"/>
                                  <w:marTop w:val="0"/>
                                  <w:marBottom w:val="0"/>
                                  <w:divBdr>
                                    <w:top w:val="none" w:sz="0" w:space="0" w:color="auto"/>
                                    <w:left w:val="none" w:sz="0" w:space="0" w:color="auto"/>
                                    <w:bottom w:val="none" w:sz="0" w:space="0" w:color="auto"/>
                                    <w:right w:val="none" w:sz="0" w:space="0" w:color="auto"/>
                                  </w:divBdr>
                                </w:div>
                                <w:div w:id="1845170399">
                                  <w:marLeft w:val="0"/>
                                  <w:marRight w:val="0"/>
                                  <w:marTop w:val="0"/>
                                  <w:marBottom w:val="0"/>
                                  <w:divBdr>
                                    <w:top w:val="none" w:sz="0" w:space="0" w:color="auto"/>
                                    <w:left w:val="none" w:sz="0" w:space="0" w:color="auto"/>
                                    <w:bottom w:val="none" w:sz="0" w:space="0" w:color="auto"/>
                                    <w:right w:val="none" w:sz="0" w:space="0" w:color="auto"/>
                                  </w:divBdr>
                                </w:div>
                                <w:div w:id="902106323">
                                  <w:marLeft w:val="0"/>
                                  <w:marRight w:val="0"/>
                                  <w:marTop w:val="0"/>
                                  <w:marBottom w:val="0"/>
                                  <w:divBdr>
                                    <w:top w:val="none" w:sz="0" w:space="0" w:color="auto"/>
                                    <w:left w:val="none" w:sz="0" w:space="0" w:color="auto"/>
                                    <w:bottom w:val="none" w:sz="0" w:space="0" w:color="auto"/>
                                    <w:right w:val="none" w:sz="0" w:space="0" w:color="auto"/>
                                  </w:divBdr>
                                </w:div>
                                <w:div w:id="201105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26</Pages>
  <Words>5675</Words>
  <Characters>32348</Characters>
  <Application>Microsoft Office Word</Application>
  <DocSecurity>0</DocSecurity>
  <Lines>269</Lines>
  <Paragraphs>75</Paragraphs>
  <ScaleCrop>false</ScaleCrop>
  <Company>Sky123.Org</Company>
  <LinksUpToDate>false</LinksUpToDate>
  <CharactersWithSpaces>37948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dc:description/>
  <cp:lastModifiedBy>cao jia</cp:lastModifiedBy>
  <cp:revision>1</cp:revision>
  <dcterms:created xsi:type="dcterms:W3CDTF">2018-01-31T09:47:00Z</dcterms:created>
  <dcterms:modified xsi:type="dcterms:W3CDTF">2022-05-17T02:39:00Z</dcterms:modified>
  <cp:category/>
</cp:coreProperties>
</file>