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94F4" w14:textId="24380A65" w:rsidR="00EA188B" w:rsidRPr="00EA188B" w:rsidRDefault="00EA188B" w:rsidP="00EA188B">
      <w:pPr>
        <w:widowControl/>
        <w:spacing w:line="675" w:lineRule="atLeast"/>
        <w:jc w:val="center"/>
        <w:rPr>
          <w:rFonts w:asciiTheme="majorEastAsia" w:eastAsiaTheme="majorEastAsia" w:hAnsiTheme="majorEastAsia" w:cs="宋体"/>
          <w:b/>
          <w:bCs/>
          <w:color w:val="000000" w:themeColor="text1"/>
          <w:kern w:val="0"/>
          <w:sz w:val="32"/>
          <w:szCs w:val="32"/>
        </w:rPr>
      </w:pPr>
      <w:r w:rsidRPr="00EA188B">
        <w:rPr>
          <w:b/>
          <w:bCs/>
          <w:color w:val="000000" w:themeColor="text1"/>
          <w:kern w:val="0"/>
          <w:sz w:val="32"/>
          <w:szCs w:val="32"/>
          <w:lang w:val="en"/>
        </w:rPr>
        <w:t>Opinions of the Jiangsu Provincial Government on Promoting the Reform and Development of the Construction Industry</w:t>
      </w:r>
    </w:p>
    <w:p w14:paraId="29BE15E8" w14:textId="77777777" w:rsidR="00EA188B" w:rsidRPr="00EA188B" w:rsidRDefault="00EA188B" w:rsidP="00EA188B">
      <w:pPr>
        <w:widowControl/>
        <w:spacing w:before="100" w:beforeAutospacing="1" w:after="100" w:afterAutospacing="1" w:line="450" w:lineRule="atLeast"/>
        <w:jc w:val="center"/>
        <w:rPr>
          <w:rFonts w:asciiTheme="minorEastAsia" w:hAnsiTheme="minorEastAsia" w:cs="宋体"/>
          <w:color w:val="484848"/>
          <w:kern w:val="0"/>
          <w:sz w:val="28"/>
          <w:szCs w:val="28"/>
        </w:rPr>
      </w:pPr>
      <w:r w:rsidRPr="00EA188B">
        <w:rPr>
          <w:snapToGrid w:val="0"/>
          <w:color w:val="000000"/>
          <w:sz w:val="28"/>
          <w:szCs w:val="28"/>
          <w:lang w:val="en"/>
        </w:rPr>
        <w:t xml:space="preserve">Su Zhengfa [2017] </w:t>
      </w:r>
      <w:r>
        <w:rPr>
          <w:snapToGrid w:val="0"/>
          <w:color w:val="000000"/>
          <w:sz w:val="28"/>
          <w:szCs w:val="28"/>
          <w:lang w:val="en"/>
        </w:rPr>
        <w:t>No</w:t>
      </w:r>
      <w:r>
        <w:rPr>
          <w:lang w:val="en"/>
        </w:rPr>
        <w:t>. 151</w:t>
      </w:r>
    </w:p>
    <w:p w14:paraId="7C5B20C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The people's governments of cities and counties (cities and districts), the provincial committees, offices, and bureaus, and the units directly under the province:</w:t>
      </w:r>
    </w:p>
    <w:p w14:paraId="4F052E4F"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The construction industry is the pillar industry, advantageous industry and enrichment industry of our province. After years of rapid development, the comprehensive strength of the construction industry in our province has been continuously enhanced, the industrial scale has been expanding, the business environment has been continuously optimized, and various indicators have ranked in the forefront of the country. However, it should also be noted that the industrial structure of the construction industry in our province is not reasonable enough, the new construction methods need to be popularized, the engineering construction organization methods are relatively backward, the quality and safety level of the project needs to be improved urgently, and the management system and mechanism are not compatible. At present and for a period in the future, the reform and development of the construction industry in our province should adhere to the guidance of Xi Jinping Thought on Socialism with Chinese Characteristics for a New Era, implement the spirit of the 19th National Congress of the Party, firmly </w:t>
      </w:r>
      <w:r w:rsidRPr="00EA188B">
        <w:rPr>
          <w:color w:val="484848"/>
          <w:kern w:val="0"/>
          <w:sz w:val="28"/>
          <w:szCs w:val="28"/>
          <w:lang w:val="en"/>
        </w:rPr>
        <w:lastRenderedPageBreak/>
        <w:t>establish and consciously practice the new development concept, deepen the reform of "decentralization and management service" in the construction industry, promote the accelerated development of prefabricated buildings, green buildings, smart buildings, and fully furnished finished housing, improve the level of project quality and safety, improve the regulatory system and mechanism, cultivate advantageous backbone enterprises, and enhance the gold content and influence of the "Jiangsu Construction" brand for construction "Strong, rich and high" new Jiangsu provides strong support. In accordance with the spirit of the Opinions of the General Office of the State Council on Promoting the Sustainable and Healthy Development of the Construction Industry (Guo Ban Fa [2017] No. 19), in accordance with the requirements of the Ministry of Housing and Urban-Rural Development on the comprehensive pilot reform of the construction industry in our province, the following opinions are hereby proposed.</w:t>
      </w:r>
    </w:p>
    <w:p w14:paraId="14CE7993"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First, improve the management of enterprise qualifications and qualifications</w:t>
      </w:r>
    </w:p>
    <w:p w14:paraId="501AACF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Simplify the qualification categories and levels of engineering construction enterprises, and reduce unnecessary qualification identification. Trial adjustment of construction general contracting level 2 and below qualifications and professional contracting qualification standards. Abolish the qualifications of labor service enterprises and implement a filing management system for professional operation enterprises. When an enterprise with one of the qualifications of construction project supervision, cost consulting and bidding agency applies for the other two Grade B and below qualifications, it only needs to meet the requirements of the number of national registered personnel. The newly established construction enterprise qualification certificate and the safety production license certificate are applied for and approved at the same time. Expand the scope of undertaking business, for enterprises with good reputation, relevant professional and technical capabilities, and can provide full guarantees, they are allowed to undertake business corresponding to higher-level qualifications within the qualification category; first-level or above construction general contracting enterprises with one of the qualifications of municipal public utilities, highways, water conservancy and hydropower, ports and waterways, which can provide full guarantees and the project leader has corresponding performance, can undertake the other three other businesses corresponding to the same level of qualifications across majors. Enterprises that have obtained the qualification for general contracting of construction may undertake professional contracting projects within the scope of the general contracting qualification. Strengthen the construction of supporting systems that are compatible with the reform of qualification and qualification management, and strengthen supervision during and after the event. Establish an individual practice insurance system, encourage architects, supervising engineers, cost engineers and other practicing registered personnel to establish practice firms to undertake business in an individual or partnership manner, and bear corresponding rights and responsibilities in accordance with law.</w:t>
      </w:r>
    </w:p>
    <w:p w14:paraId="2A6A017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Second, optimize the structure of the construction industry</w:t>
      </w:r>
    </w:p>
    <w:p w14:paraId="3FC69FCC"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Vigorously support high-level qualified enterprises to become bigger and stronger, focusing on cultivating a number of municipal public utilities, highways, water conservancy and hydropower, ports and waterway projects and other special qualification enterprises; support large enterprises to cross-regional and cross-industry mergers and acquisitions, and cultivate a number of well-known enterprises with more core competitiveness and brand influence. Encourage small and medium-sized enterprises to take the road of professional and refined development, and cultivate a number of professional enterprises with obvious operating characteristics, high scientific and technological content, and broad market prospects. To change the market structure of construction enterprises in our province based on housing construction, support construction enterprises to enter the infrastructure field, local governments should clarify a certain number of major infrastructure construction projects and bidding sections in the annual construction project plan, and encourage backbone construction enterprises to participate in major infrastructure construction such as rail transit, bridges and tunnels, comprehensive pipe corridors, and sponge cities by means of consortium bidding. In the construction of urban rail transit, all localities should actively carry out the participation of construction enterprises in the province in the pilot work. Promote the diversified operation of enterprises, guide construction enterprises to extend the industrial chain, enhance the value chain, improve competitiveness, promote the upstream and downstream extension of large and medium-sized enterprises and the diversification of the industry, carry out all-round and integrated services in the fields of investment and financing, design consulting, engineering construction, production of building parts, operation and maintenance, etc., and gradually realize the extension from building products to development and operation of building products. Support private construction enterprises to use the PPP model to enter urban water supply, sewage and garbage treatment, gas, public transportation and other fields to carry out "construction and operation integration" business, and must not set additional conditions and discriminatory clauses for private construction enterprises in violation of regulations. By 2020, 50 enterprises with an output value of more than 10 billion yuan will be cultivated, zero breakthroughs will be achieved in enterprises with an output value of more than 100 billion yuan, and more than 10 construction enterprises in the province will enter the field of rail transit construction in the form of general contracting.</w:t>
      </w:r>
    </w:p>
    <w:p w14:paraId="41ED3B16"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Third, promote the professionalization of workers in the construction industry</w:t>
      </w:r>
    </w:p>
    <w:p w14:paraId="45009D00"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Reform the construction employment system, and promote the transformation of construction labor service enterprises into specialized operating enterprises with stable labor relations. Improve vocational skills training, highlight the main responsibility of enterprise training, vigorously carry forward the spirit of craftsmen, continuously improve professional capabilities and quality, incorporate the skills training of qualified construction industry workers into the scope of existing vocational skills training and appraisal subsidies, and strictly implement the first training and then post for posts involving quality and safety. Broaden the diversified evaluation methods of vocational skills, establish and improve the appraisal system, and support qualified enterprises in independent training and evaluation. Improve and improve the social insurance payment methods suitable for the construction industry, and vigorously promote the participation of construction units in work injury insurance. Comprehensively implement the real-name system and information management of construction workers, coordinate the construction of an interconnected construction worker management information service platform, and guide the orderly transfer of human resources to market demand and labor remuneration to high-standard and high-skilled positions.</w:t>
      </w:r>
    </w:p>
    <w:p w14:paraId="4393D2F4"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Fourth, promote prefabricated buildings</w:t>
      </w:r>
    </w:p>
    <w:p w14:paraId="1910BF32"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Accelerate the improvement of the prefabricated building technical standard system, market promotion system, quality supervision system and monitoring and evaluation system. While vigorously developing prefabricated concrete buildings, we will actively promote prefabricated steel structure buildings and prefabricated wooden structure buildings, and actively explore the construction of low-rise housing in rural prefabricated buildings. Focusing on cultivating the market demand for prefabricated buildings, government investment projects have taken the lead in realizing prefabricated construction, and clarifying the proportion of prefabricated buildings for construction projects through land transfer. Actively promote the construction of prefabricated building industrial parks, demonstration bases and projects, and form a large-scale prefabricated building industry chain. For prefabricated building prefabricated parts and components production enterprises, included in the scope of project construction supervision, in line with the policy provisions can apply to enjoy the new wall material value-added tax incentives; obtain the new wall material certification, can apply for energy conservation and emission reduction special guidance fund funding. By 2020, prefabricated buildings in the province will account for 30% of the new construction area.</w:t>
      </w:r>
    </w:p>
    <w:p w14:paraId="3283B1DD"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Fifth, strengthen the application of digital construction technology</w:t>
      </w:r>
    </w:p>
    <w:p w14:paraId="014B36D1"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Accelerate the integrated application of building information modeling (BIM) technology in the whole process of planning, survey, design, construction and operation and maintenance, realize the whole life cycle data sharing and information management of engineering construction projects, provide a basis for project plan optimization and scientific decision-making, and promote the quality and efficiency of the construction industry. Formulate guidelines for promoting the application of BIM technology in our province, and establish a long-term mechanism for the promotion and application of BIM technology. Accelerate the preparation of technical standards such as BIM technical approval, delivery, acceptance, and evaluation, and improve the technical standard system. Establish bim technical service fee standards and include the total project investment and project cost as a non-competitive expense within 3 years. Select a number of representative projects to carry out pilot demonstrations of BIM technology applications, and form experiences and methods that can be promoted. Promote the use of key technologies such as sensors, the Internet of Things, and dynamic monitoring in digital construction, and promote the construction of digital construction standards and technical systems. By 2020, the province's construction, municipal Grade A design units and construction enterprises above the first level will master and implement the integrated application of BIM technology, and the proportion of newly established public buildings and municipal engineering integrated applications with state-owned capital investment will reach 90%.</w:t>
      </w:r>
    </w:p>
    <w:p w14:paraId="3D82A700"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Sixth, expand the proportion of fully renovated finished housing</w:t>
      </w:r>
    </w:p>
    <w:p w14:paraId="584D71E2"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Vigorously promote the integration of housing design, construction and decoration, promote the assembly decoration of standardized, modular and dry operations, promote the integration of materials, products and equipment pipelines such as overall kitchen and bathroom, lightweight partition walls, etc., and realize the fixed surface paving or painting of all functional spaces in the suite when the house is delivered, the installation of pipelines and terminals, the basic facilities of doors and windows, kitchens and bathrooms, etc. are all completed and have the function of use. Advocate menu-style decoration to meet the personalized needs of consumers. The cost of renovation is calculated separately in the housing price monitoring system. By 2020, the proportion of newly built commercial housing in districted cities will reach more than 50%, and prefabricated residential buildings and newly built public rental housing invested by the government will all achieve the delivery of finished housing.</w:t>
      </w:r>
    </w:p>
    <w:p w14:paraId="2E16C9F6"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7. Implement the "Green Building +" project</w:t>
      </w:r>
    </w:p>
    <w:p w14:paraId="3B4EBA8F"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Promote the improvement of green building quality and the large-scale development of high-star green buildings, explore the construction of a green building evaluation and identification system with Jiangsu characteristics, promote the deep integration of prefabricated buildings, passive buildings, BIM, intelligent wisdom and other technologies with green buildings, implement a number of passive building projects, and promote the development of green buildings to a deeper level. Formulate green ecological planning and construction standards in Jiangsu Province, promote the large-scale development of high-star green buildings and passive buildings, simultaneously promote the centralized integration demonstration of eco-urban and rural construction such as green transportation, green lighting, sponge city, smart city, comprehensive utilization of underground space, and regional energy supply, and explore the construction path of ecological city with coordinated development and green development. Strengthen the control of pollution such as dust and noise at construction sites, and further promote green construction. Explore the establishment of a market-oriented promotion mechanism for the energy-saving renovation of existing buildings, strengthen the operation and management of green buildings, and improve the energy efficiency of buildings. Further increase the special fund support for building energy conservation, and strengthen demonstration and leadership</w:t>
      </w:r>
      <w:r w:rsidRPr="00EA188B">
        <w:rPr>
          <w:color w:val="484848"/>
          <w:kern w:val="0"/>
          <w:sz w:val="28"/>
          <w:szCs w:val="28"/>
          <w:lang w:val="en"/>
        </w:rPr>
        <w:t>。</w:t>
      </w:r>
      <w:r w:rsidRPr="00EA188B">
        <w:rPr>
          <w:color w:val="484848"/>
          <w:kern w:val="0"/>
          <w:sz w:val="28"/>
          <w:szCs w:val="28"/>
          <w:lang w:val="en"/>
        </w:rPr>
        <w:t xml:space="preserve"> The incremental cost of high-star green buildings and passive buildings is calculated separately in the housing price monitoring system. By 2020, new civil buildings will fully implement the 75% energy-saving standard and achieve a 20% increase in building energy efficiency; 500 million square meters of new green buildings will be added in the province, of which two-star and above green buildings account for 50% of the proportion of new urban buildings.</w:t>
      </w:r>
    </w:p>
    <w:p w14:paraId="5657D1C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8. Implement general contracting of projects</w:t>
      </w:r>
    </w:p>
    <w:p w14:paraId="021759E6"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On the basis of comprehensively implementing the general contracting of construction, we will accelerate the implementation of the general contracting model of projects, and encourage large-scale design and construction general contracting enterprises with strong comprehensive strength to carry out general contracting business. Accelerate the establishment of supporting systems for bidding, project valuation, and project management that are adapted to the development of general contracting. Except for projects that are included in the scope of the general contracting in the form of provisional valuation and must be tendered according to law, the general contracting unit can directly issue contracts for other professional businesses covered in the general contracting contract. For EPC projects that adopt a fixed total price contract, during the valuation settlement and audit, the focus is on the agreed change adjustment part and the provisional valuation part. Every year, all localities should specify that no less than 20% of the state-owned funds should invest in the leading project to implement the general contracting of the project. In principle, prefabricated buildings should all adopt the EPC model. By 2020, the province will cultivate 100 backbone enterprises for general contracting of projects.</w:t>
      </w:r>
    </w:p>
    <w:p w14:paraId="54E06C2C"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Nine, cultivate the whole process of engineering consulting services</w:t>
      </w:r>
    </w:p>
    <w:p w14:paraId="40A2C6DA"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Integrate the investment consulting, engineering design, bidding agency, cost consulting, project supervision, project management and other services required for project construction, and promote consulting enterprises to provide the whole process and integrated services. Guide and support the construction unit to entrust the whole process of engineering consulting services to an enterprise or a consortium with full qualifications and strong comprehensive strength; or entrust it to an enterprise with relevant qualifications, and the enterprise will subcontract the business that is not within the scope of the qualification business of the unit to other enterprises with corresponding qualifications. Every year, all localities should implement a number of influential and exemplary whole-process engineering consulting projects. In civil construction projects, give full play to the leading role of architects and explore the implementation of the architect responsibility system. By 2020, the province will cultivate 100 backbone enterprises with the ability to consult the whole process of engineering.</w:t>
      </w:r>
    </w:p>
    <w:p w14:paraId="3FB37522"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X. Accelerate the centralized organization and construction of government investment projects</w:t>
      </w:r>
    </w:p>
    <w:p w14:paraId="62A16E52"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Promote the transformation of government investment projects from the use of units to the centralized organization and construction of professional institutions and professional construction platforms established by the government, realize the separation of "investment, construction, supervision and use", and continuously improve the professional level of project management and the investment efficiency of financial funds. By 2018, the provincial government's investment projects will fully implement centralized organization construction.</w:t>
      </w:r>
    </w:p>
    <w:p w14:paraId="661218E0"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11. Adjust the scope of bidding for engineering construction projects</w:t>
      </w:r>
    </w:p>
    <w:p w14:paraId="5F514874"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For all engineering construction projects in which non-state-owned funds or non-state-owned funds hold or dominate (except for those involving national defense, national security, etc.), the construction unit may independently decide whether to use bidding or direct contract issuance, and whether to enter the tangible market for transactions. The bidding and bidding supervision departments should innovate the supervision methods, clarify the key points of supervision, and focus on strengthening the supervision of bidding and bidding for state-owned capital investment projects. For operational construction projects invested by state-owned enterprises, where the construction unit holding or being controlled by the enterprise is able to provide design, construction, material equipment and consulting services in accordance with law, the construction unit may directly contract the design, construction, material equipment and consulting services of the project to the holding enterprise or the controlled enterprise.</w:t>
      </w:r>
    </w:p>
    <w:p w14:paraId="4C556660"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XII. Reform the bidding and evaluation system for projects and improve work efficiency</w:t>
      </w:r>
    </w:p>
    <w:p w14:paraId="034561B9"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The system of "assessment separation" shall be implemented for architectural scheme design projects, general contracting projects, and large-scale or technically complex projects centrally constructed by the government. For projects that implement the evaluated minimum bid price method, the successful bidder is required to provide a performance guarantee for the difference in addition to the normal performance guarantee. Projects that implement the comprehensive bid evaluation method must implement the "three-in-one" evaluation of commercial bids, technical bids and credit bids. Enterprises that have been included in the "blacklist" of restricted access due to serious untrustworthiness must not participate in bidding. Explore the establishment of a price early warning intervention mechanism, change the bidding and procurement management mode based on price determinants, implement a comprehensive assessment of technology, quality, brand, price and other factors, and guide enterprises to change from "fighting for price" to "fighting for quality". To improve the efficiency of project bidding, small and medium-sized projects and technical bids do not participate in the evaluation of the project, the bidding documents to the opening time of not less than 10 days (except for design bidding); the use of reasonable price random method of the project, the bidding documents to the opening time of not less than 7 days. Expand the openness of bidding information, and implement online acceptance of objections and complaints. Establish a provincial-level senior bid evaluation expert database, and establish an expert review system for major legal and technical issues in bidding and bidding.</w:t>
      </w:r>
    </w:p>
    <w:p w14:paraId="17C29874"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13. Improve the system of contracting for architectural design</w:t>
      </w:r>
    </w:p>
    <w:p w14:paraId="1F5F4DFF"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Implement bidding methods that conform to design characteristics, such as bidding for architectural design schemes and bidding for design teams. Where the architectural design scheme is used for bidding, the construction unit shall sign an engineering design contract with the winning bidder in accordance with the relevant provisions, including the design of the scheme, the preliminary design and the design stage of the construction drawings, and if it is truly necessary to choose another design unit to undertake the preliminary design or construction drawing design, it shall be specified in the bidding announcement or the invitation to bid, and the design fee of the winning unit shall be paid, and the amount shall not be less than 30% of the total design fee of the project. If the design team is used for bidding, the bidder's ability, performance, credibility and design concept should be considered. Where it is really necessary to set a bidding quotation in the evaluation criteria, its weight shall not exceed 10%. For construction projects in important urban areas and important landscape areas, public buildings with special requirements for architectural functions, and important large-scale projects in the province, upon the research and consent of the people's government at or above the county level where they are located, they may use the method of invitation to bid to issue contracts, and may also directly issue contracts to design units with design masters named by academicians of architecture majors, the Ministry of Housing and Urban-Rural Development or provincial people's governments as the main creative designers. Improve the election system for architectural design plans, and construction units may use the election method to determine the design plan. Encourage the construction project to implement the design of the general contract, in accordance with the contract or with the consent of the construction unit, the design unit may directly subcontract the design of the non-main part of the construction project.</w:t>
      </w:r>
    </w:p>
    <w:p w14:paraId="263FEE6E"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14. Establish a quality control and evaluation system for the whole process of engineering</w:t>
      </w:r>
    </w:p>
    <w:p w14:paraId="7DAAADAD"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Explore the establishment of engineering quality performance evaluation index system and application methods, strengthen the control of engineering quality process, implement the process quantitative evaluation mechanism, and publish the quantitative results to the public after the project is completed. The quantitative cumulative score within a time limit is linked to the government's bidding, appraisal and reward, and guide the construction industry enterprises to consciously improve the quality of the project. Establish a comprehensive reporting system for quality inspection of construction projects, and further implement the responsibility for testing quality. Establish building materials certification, evaluation, information disclosure and other systems, and improve the quality tracking, positioning, maintenance and responsibility traceability mechanism of the whole process of the project. Strengthen the collection and management of documents and electronic documents in all aspects of engineering project construction, ensure that the construction project files are true, complete and accurate, and provide a basis for implementing the lifelong responsibility system for the quality of construction projects and ensuring the operation and maintenance of engineering facilities.</w:t>
      </w:r>
    </w:p>
    <w:p w14:paraId="17D5BD23"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15. Strengthen project quality and safety supervision</w:t>
      </w:r>
    </w:p>
    <w:p w14:paraId="7DC5A1C8"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Fully implement the quality and safety responsibilities of all parties, strengthen the primary responsibility of the construction unit and the main responsibility of the survey, design and construction unit, strictly implement the quality and safety responsibility of the project leader, the legal representative of the enterprise is the first responsibility for quality and safety, and the planning and design, drawing review, construction permit, post-approval supervision, etc. should be based on safety as the premise to strengthen source control. Improve the linkage supervision mechanism between the construction site and the construction market. Give full play to the government supervision functions of the project quality and safety supervision agencies, focusing on strengthening the supervision and inspection of the engineering foundation, the main structure and other parts involving public safety, and the completion and acceptance. Strengthen project quality and safety supervision and law enforcement inspections, increase the intensity of spot checks and sampling, and implement the "double random, one open" inspection method. All localities may adopt the method of government procurement of services and entrust third-party agencies to implement project quality and safety management. Strengthen the construction of quality and safety supervision teams, strengthen the assessment of the ability and performance of duties by supervisory bodies and personnel, and the results are included in the government quality work assessment. The expenses required by the supervisory bodies to perform their functions shall be guaranteed in full from the financial budget at the same level.</w:t>
      </w:r>
    </w:p>
    <w:p w14:paraId="21DC6D18"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16. Implement the project guarantee and insurance system</w:t>
      </w:r>
    </w:p>
    <w:p w14:paraId="2051F9E1"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Establish a bidding guarantee, project payment guarantee, contract performance guarantee, construction worker wage guarantee and quality warranty guarantee system based on bank guarantee letters, professional guarantee company guarantees or comprehensive insurance. The competent department and the construction unit shall not refuse the guarantee provided by means of a bank guarantee, a professional guarantee company or comprehensive insurance for any reason. Implement the "double guarantee" system for project performance, and if the construction unit submits a performance guarantee, the construction unit shall submit a guarantee for the payment of the project payment at the same time. The project quality insurance system is implemented for real estate development projects, and the insurance cost is included in the project cost. Projects that submit engineering quality warranty guarantee or engineering quality insurance will no longer reserve the project quality assurance fee.</w:t>
      </w:r>
    </w:p>
    <w:p w14:paraId="03EBDD2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17. Standardize the settlement of project prices</w:t>
      </w:r>
    </w:p>
    <w:p w14:paraId="0A8F94F5"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According to the project quality standards and grades to establish a high-quality and preferential price system, encourage enterprises to create high-quality projects, when the construction unit and the construction enterprise sign a contract, it can be clearly won the municipal quality project or above awards according to the construction of the project is not higher than 1% of the construction and security project costs are calculated according to the quality of the price. Reform the labor unit price formation mechanism, gradually integrate with the market labor price, incorporate social insurance premiums, provident funds, etc. into the budget labor wage unit price, and adjust the labor consumption. Standardize the advance payment, progress payment ratio, node and risk clause in the bidding documents, and the advance payment should not be less than 10% of the total contract price. Government-invested projects are strictly prohibited from requiring construction enterprises to contract with capital. Both parties to the contract shall complete the review, confirmation and payment of the completed quantity and the price of the changed visa when paying in the middle of the period. Strictly implement the time for the contractor and the contractor to complete the completion settlement check and sign the confirmation, and the amount of the project completion settlement report is less than 100 million yuan, not more than 90 days; if the amount is more than 100 million yuan, it is not more than 180 days; when the verification time exceeds the prescribed time limit, the bank shall pay the bank loan interest for the same period according to the contract. The auditing organ shall strengthen the auditing supervision of engineering construction projects with government investment as the mainstay in accordance with the law, and the construction unit shall not use the failure to complete the audit as a reason for postponing the settlement of project funds or defaulting on project payments. When the project is completed and accepted, the project payment shall be paid according to the mid-term measurement results after the guarantee fund is reserved. For projects that have not completed the settlement of completion, the relevant departments shall not register the property rights.</w:t>
      </w:r>
    </w:p>
    <w:p w14:paraId="41523D8A"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18. Deepen the reform of "decentralization service" in the construction market</w:t>
      </w:r>
    </w:p>
    <w:p w14:paraId="0B0FBC5D"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Taking key industrial production and construction projects as the target, popularize the experience of the "pre-examination agency system", build a pre-examination service system, and help the construction units to achieve synchronous preparation of technical solutions and licensing requirements; through the inclusion of the commitment system and the comprehensive engineering consulting system, strengthen the responsibility of the construction units and technical consulting units to comply with the planning conditions and mandatory standards and norms. Strive to implement the "multi-map joint review" and the provincial "no longer review the map". Establish a parallel approval system for the construction permit stage of construction projects, through optimizing and reengineering the approval process, sharing and associating preconditions, merging and cleaning up the approval links, reducing and compressing the approval time, and fully implementing the paperless declaration of construction permits, the "no-face approval" and the electronic certificate system. Further improve the list of rights and responsibilities, clarify management boundaries and the content of duties, integrate law enforcement forces, improve law enforcement linkage mechanisms, realize the centralized exercise of administrative punishment powers in the field of housing and urban and rural construction, and shift from attaching importance to prior examination and approval to strengthening supervision during and after the event. Improve the establishment of an integrated platform for construction market supervision and creditworthiness information throughout the province, accelerate the establishment of a new type of market supervision mechanism with credit management as the core, include all types of untrustworthy conduct in credit records, publicly disclose them to the outside world, carry out joint disciplinary action, and in accordance with the requirements for the construction of "Internet + government services", bring about interconnection and information sharing with relevant systems such as the Jiangsu government service network, the investment online approval platform, the market supervision information platform, and the Public Credit Information platform, forming trustworthiness and rewards, untrustworthiness being punished, untrustworthiness in one place, A mechanism that is limited everywhere.</w:t>
      </w:r>
    </w:p>
    <w:p w14:paraId="75B9FE78"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19. Support enterprises to "go global" for development</w:t>
      </w:r>
    </w:p>
    <w:p w14:paraId="7B6434C1"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 xml:space="preserve">    Support construction enterprises to track investment hotspots abroad, especially countries along the "Belt and Road", and implement the "going out" strategy around key regions, key professional fields and key engineering projects. Encourage enterprises to jointly contract large and medium-sized foreign projects through shareholding cooperation, project cooperation, and the formation of consortiums with enterprises in the country where the project is located. Vigorously promote the integration of overseas contracted projects and build operations, and form a linkage output of intelligence, technology, funds, equipment, management, standards and labor. Regularly hold domestic and foreign Jiangsu construction industry enterprise promotion activities to expand the influence of the "Jiangsu Construction" brand. Establish an information data platform for construction enterprises in our province to engage in international construction market activities. For foreign contracted projects, where the contract amount or loan amount exceeds a certain amount, it shall be included in the scope of special fund support for business development. By 2020, the turnover of the international market will strive to double that of the end of the "Twelfth Five-Year Plan".</w:t>
      </w:r>
    </w:p>
    <w:p w14:paraId="4E48D75C"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20. Increase policy support</w:t>
      </w:r>
    </w:p>
    <w:p w14:paraId="5B7AB904"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Pr>
          <w:color w:val="484848"/>
          <w:kern w:val="0"/>
          <w:sz w:val="28"/>
          <w:szCs w:val="28"/>
          <w:lang w:val="en"/>
        </w:rPr>
        <w:t xml:space="preserve">    </w:t>
      </w:r>
      <w:r w:rsidRPr="00EA188B">
        <w:rPr>
          <w:color w:val="484848"/>
          <w:kern w:val="0"/>
          <w:sz w:val="28"/>
          <w:szCs w:val="28"/>
          <w:lang w:val="en"/>
        </w:rPr>
        <w:t>Research and introduce policies and measures, and focus on cultivating a group of survey and design masters, excellent construction engineers and project management leaders. Actively promote school-enterprise cooperation, guide and encourage college graduates to work in the front line of the construction industry. Increase support for the innovation of building science and technology, and refer to the acquisition of invention patents and construction methodsWith the preparation of national, industry and local standards of enterprises, open up green channels, priority selection of provincial-level or above enterprise technology centers. Encourage qualified design, consulting and other enterprises to declare high-tech enterprises, and implement the pre-tax deduction policy for research and development expenses incurred by construction enterprises in accordance with regulations. For the part of the construction enterprises identified as high-tech enterprises that do not exceed 8% of the total wages and salaries, the part of the construction enterprise that is recognized as a high-tech enterprise shall be allowed to be deducted when calculating the taxable income of the enterprise income tax, and the excess part shall be allowed to be carried forward in the following tax year. According to the comprehensive R&amp;D incentive fund support conditions provided by relevant departments and the R&amp;D investment of construction enterprises, the provincial finance will give 5%-10% inclusive incentives. Strengthen the leading role of standards in scientific and technological innovation in the construction industry, and for local standards for engineering construction involving quality and safety, environmental protection and energy conservation, the preparation funds will be guaranteed by relevant special funds at the provincial level. Enterprises are encouraged to standardize the accounting of income items such as wages and salaries and labor remuneration, accurately declare the full withholding details of all employees in accordance with the law, and approve and collect the construction enterprises in different places that cannot accurately make the full withholding detailed declaration of all employees according to a certain proportion of the project price. Increase financial support, give full play to the role of government investment funds such as smart building funds and "Belt and Road" investment funds, and guide social capital into key areas and key links of the construction industry. Encourage policy banks to support construction enterprises to "go global", and strive to solve the problems of special funds for the issuance of guarantee risks in foreign contracting projects in our province. Financial institutions should adopt measures for construction enterprisesDifferentiated creditThe policy provides credit support to enterprises with good operating conditions and good reputation in the industry by carrying out construction contract financing loans, accounts receivable financing loans and other businesses. Support construction enterprises that meet the conditions of the "Jiangsu Construction 2025" development strategy, and use multi-level capital market listing, listing and bond issuance to directly raise funds.</w:t>
      </w:r>
    </w:p>
    <w:p w14:paraId="0E18AB11" w14:textId="77777777"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color w:val="484848"/>
          <w:kern w:val="0"/>
          <w:sz w:val="28"/>
          <w:szCs w:val="28"/>
        </w:rPr>
      </w:pPr>
      <w:r w:rsidRPr="00EA188B">
        <w:rPr>
          <w:color w:val="484848"/>
          <w:kern w:val="0"/>
          <w:sz w:val="28"/>
          <w:szCs w:val="28"/>
          <w:lang w:val="en"/>
        </w:rPr>
        <w:t>All localities should attach great importance to the reform and development of the construction industry, and study and formulate supporting policies for deepening the reform of the construction industry and supporting the development of the construction industry in light of actual conditions. The relevant departments of the province and all districted cities should establish a comprehensive assessment index system for the reform and development of the construction industry, release evaluation reports including the construction industry, project quality and safety, market operation, structural optimization, transformation and development, business environment, etc., and give full play to the positive role of industry associations in standardizing market order and promoting the integrity of enterprises, and the exemplary and leading role of building strong cities and strong construction counties.</w:t>
      </w:r>
    </w:p>
    <w:p w14:paraId="63677222" w14:textId="77777777" w:rsidR="00EA188B" w:rsidRPr="00EA188B" w:rsidRDefault="00EA188B" w:rsidP="00EA188B">
      <w:pPr>
        <w:widowControl/>
        <w:spacing w:before="100" w:beforeAutospacing="1" w:after="100" w:afterAutospacing="1" w:line="450" w:lineRule="atLeast"/>
        <w:ind w:left="870"/>
        <w:jc w:val="right"/>
        <w:rPr>
          <w:rFonts w:asciiTheme="minorEastAsia" w:hAnsiTheme="minorEastAsia" w:cs="宋体"/>
          <w:color w:val="484848"/>
          <w:kern w:val="0"/>
          <w:sz w:val="28"/>
          <w:szCs w:val="28"/>
        </w:rPr>
      </w:pPr>
      <w:r w:rsidRPr="00EA188B">
        <w:rPr>
          <w:color w:val="484848"/>
          <w:kern w:val="0"/>
          <w:sz w:val="28"/>
          <w:szCs w:val="28"/>
          <w:lang w:val="en"/>
        </w:rPr>
        <w:t>People's Government of Jiangsu Province</w:t>
      </w:r>
    </w:p>
    <w:p w14:paraId="12925CB8" w14:textId="77777777" w:rsidR="00EA188B" w:rsidRPr="00EA188B" w:rsidRDefault="00EA188B" w:rsidP="00EA188B">
      <w:pPr>
        <w:widowControl/>
        <w:spacing w:before="100" w:beforeAutospacing="1" w:after="100" w:afterAutospacing="1" w:line="450" w:lineRule="atLeast"/>
        <w:ind w:left="870"/>
        <w:jc w:val="right"/>
        <w:rPr>
          <w:rFonts w:asciiTheme="minorEastAsia" w:hAnsiTheme="minorEastAsia" w:cs="宋体"/>
          <w:color w:val="484848"/>
          <w:kern w:val="0"/>
          <w:sz w:val="28"/>
          <w:szCs w:val="28"/>
        </w:rPr>
      </w:pPr>
      <w:r w:rsidRPr="00EA188B">
        <w:rPr>
          <w:color w:val="484848"/>
          <w:kern w:val="0"/>
          <w:sz w:val="28"/>
          <w:szCs w:val="28"/>
          <w:lang w:val="en"/>
        </w:rPr>
        <w:t>November 24, 2017</w:t>
      </w:r>
    </w:p>
    <w:p w14:paraId="13FBB492" w14:textId="10B8FFBF" w:rsidR="00215FB7" w:rsidRPr="00EA188B" w:rsidRDefault="00215FB7">
      <w:pPr>
        <w:rPr>
          <w:rFonts w:asciiTheme="minorEastAsia" w:hAnsiTheme="minorEastAsia"/>
          <w:sz w:val="28"/>
          <w:szCs w:val="28"/>
        </w:rPr>
      </w:pPr>
    </w:p>
    <w:sectPr w:rsidR="00215FB7" w:rsidRPr="00EA188B" w:rsidSect="00EA188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B3959"/>
    <w:multiLevelType w:val="multilevel"/>
    <w:tmpl w:val="9FA2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41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8B"/>
    <w:rsid w:val="00215FB7"/>
    <w:rsid w:val="003D3CB5"/>
    <w:rsid w:val="007E0281"/>
    <w:rsid w:val="00EA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81F9"/>
  <w15:docId w15:val="{4855B0EF-B4CE-4B49-B724-C47128B5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0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1590">
      <w:bodyDiv w:val="1"/>
      <w:marLeft w:val="0"/>
      <w:marRight w:val="0"/>
      <w:marTop w:val="0"/>
      <w:marBottom w:val="0"/>
      <w:divBdr>
        <w:top w:val="none" w:sz="0" w:space="0" w:color="auto"/>
        <w:left w:val="none" w:sz="0" w:space="0" w:color="auto"/>
        <w:bottom w:val="none" w:sz="0" w:space="0" w:color="auto"/>
        <w:right w:val="none" w:sz="0" w:space="0" w:color="auto"/>
      </w:divBdr>
      <w:divsChild>
        <w:div w:id="406345228">
          <w:marLeft w:val="0"/>
          <w:marRight w:val="0"/>
          <w:marTop w:val="0"/>
          <w:marBottom w:val="0"/>
          <w:divBdr>
            <w:top w:val="none" w:sz="0" w:space="0" w:color="auto"/>
            <w:left w:val="none" w:sz="0" w:space="0" w:color="auto"/>
            <w:bottom w:val="none" w:sz="0" w:space="0" w:color="auto"/>
            <w:right w:val="none" w:sz="0" w:space="0" w:color="auto"/>
          </w:divBdr>
          <w:divsChild>
            <w:div w:id="954022500">
              <w:marLeft w:val="0"/>
              <w:marRight w:val="0"/>
              <w:marTop w:val="0"/>
              <w:marBottom w:val="0"/>
              <w:divBdr>
                <w:top w:val="none" w:sz="0" w:space="0" w:color="auto"/>
                <w:left w:val="none" w:sz="0" w:space="0" w:color="auto"/>
                <w:bottom w:val="none" w:sz="0" w:space="0" w:color="auto"/>
                <w:right w:val="none" w:sz="0" w:space="0" w:color="auto"/>
              </w:divBdr>
              <w:divsChild>
                <w:div w:id="1053037370">
                  <w:marLeft w:val="0"/>
                  <w:marRight w:val="0"/>
                  <w:marTop w:val="0"/>
                  <w:marBottom w:val="0"/>
                  <w:divBdr>
                    <w:top w:val="none" w:sz="0" w:space="0" w:color="auto"/>
                    <w:left w:val="none" w:sz="0" w:space="0" w:color="auto"/>
                    <w:bottom w:val="none" w:sz="0" w:space="0" w:color="auto"/>
                    <w:right w:val="none" w:sz="0" w:space="0" w:color="auto"/>
                  </w:divBdr>
                  <w:divsChild>
                    <w:div w:id="1577205436">
                      <w:marLeft w:val="0"/>
                      <w:marRight w:val="0"/>
                      <w:marTop w:val="0"/>
                      <w:marBottom w:val="0"/>
                      <w:divBdr>
                        <w:top w:val="none" w:sz="0" w:space="0" w:color="auto"/>
                        <w:left w:val="none" w:sz="0" w:space="0" w:color="auto"/>
                        <w:bottom w:val="none" w:sz="0" w:space="0" w:color="auto"/>
                        <w:right w:val="none" w:sz="0" w:space="0" w:color="auto"/>
                      </w:divBdr>
                      <w:divsChild>
                        <w:div w:id="1035547023">
                          <w:marLeft w:val="0"/>
                          <w:marRight w:val="0"/>
                          <w:marTop w:val="0"/>
                          <w:marBottom w:val="150"/>
                          <w:divBdr>
                            <w:top w:val="single" w:sz="6" w:space="0" w:color="DDDDDD"/>
                            <w:left w:val="single" w:sz="6" w:space="0" w:color="DDDDDD"/>
                            <w:bottom w:val="single" w:sz="6" w:space="0" w:color="DDDDDD"/>
                            <w:right w:val="single" w:sz="6" w:space="0" w:color="DDDDDD"/>
                          </w:divBdr>
                          <w:divsChild>
                            <w:div w:id="685447470">
                              <w:marLeft w:val="0"/>
                              <w:marRight w:val="0"/>
                              <w:marTop w:val="150"/>
                              <w:marBottom w:val="100"/>
                              <w:divBdr>
                                <w:top w:val="none" w:sz="0" w:space="0" w:color="auto"/>
                                <w:left w:val="none" w:sz="0" w:space="0" w:color="auto"/>
                                <w:bottom w:val="none" w:sz="0" w:space="0" w:color="auto"/>
                                <w:right w:val="none" w:sz="0" w:space="0" w:color="auto"/>
                              </w:divBdr>
                            </w:div>
                            <w:div w:id="2087532714">
                              <w:marLeft w:val="150"/>
                              <w:marRight w:val="0"/>
                              <w:marTop w:val="0"/>
                              <w:marBottom w:val="75"/>
                              <w:divBdr>
                                <w:top w:val="single" w:sz="6" w:space="0" w:color="DDDDDD"/>
                                <w:left w:val="none" w:sz="0" w:space="0" w:color="auto"/>
                                <w:bottom w:val="none" w:sz="0" w:space="0" w:color="auto"/>
                                <w:right w:val="none" w:sz="0" w:space="0" w:color="auto"/>
                              </w:divBdr>
                            </w:div>
                            <w:div w:id="806048972">
                              <w:marLeft w:val="150"/>
                              <w:marRight w:val="0"/>
                              <w:marTop w:val="300"/>
                              <w:marBottom w:val="150"/>
                              <w:divBdr>
                                <w:top w:val="none" w:sz="0" w:space="0" w:color="auto"/>
                                <w:left w:val="none" w:sz="0" w:space="0" w:color="auto"/>
                                <w:bottom w:val="none" w:sz="0" w:space="0" w:color="auto"/>
                                <w:right w:val="none" w:sz="0" w:space="0" w:color="auto"/>
                              </w:divBdr>
                              <w:divsChild>
                                <w:div w:id="1906718750">
                                  <w:marLeft w:val="0"/>
                                  <w:marRight w:val="0"/>
                                  <w:marTop w:val="0"/>
                                  <w:marBottom w:val="0"/>
                                  <w:divBdr>
                                    <w:top w:val="none" w:sz="0" w:space="0" w:color="auto"/>
                                    <w:left w:val="none" w:sz="0" w:space="0" w:color="auto"/>
                                    <w:bottom w:val="none" w:sz="0" w:space="0" w:color="auto"/>
                                    <w:right w:val="none" w:sz="0" w:space="0" w:color="auto"/>
                                  </w:divBdr>
                                </w:div>
                                <w:div w:id="1595819718">
                                  <w:marLeft w:val="0"/>
                                  <w:marRight w:val="0"/>
                                  <w:marTop w:val="0"/>
                                  <w:marBottom w:val="0"/>
                                  <w:divBdr>
                                    <w:top w:val="none" w:sz="0" w:space="0" w:color="auto"/>
                                    <w:left w:val="none" w:sz="0" w:space="0" w:color="auto"/>
                                    <w:bottom w:val="none" w:sz="0" w:space="0" w:color="auto"/>
                                    <w:right w:val="none" w:sz="0" w:space="0" w:color="auto"/>
                                  </w:divBdr>
                                </w:div>
                                <w:div w:id="1052656383">
                                  <w:marLeft w:val="0"/>
                                  <w:marRight w:val="0"/>
                                  <w:marTop w:val="0"/>
                                  <w:marBottom w:val="0"/>
                                  <w:divBdr>
                                    <w:top w:val="none" w:sz="0" w:space="0" w:color="auto"/>
                                    <w:left w:val="none" w:sz="0" w:space="0" w:color="auto"/>
                                    <w:bottom w:val="none" w:sz="0" w:space="0" w:color="auto"/>
                                    <w:right w:val="none" w:sz="0" w:space="0" w:color="auto"/>
                                  </w:divBdr>
                                </w:div>
                                <w:div w:id="1114985048">
                                  <w:marLeft w:val="0"/>
                                  <w:marRight w:val="0"/>
                                  <w:marTop w:val="0"/>
                                  <w:marBottom w:val="0"/>
                                  <w:divBdr>
                                    <w:top w:val="none" w:sz="0" w:space="0" w:color="auto"/>
                                    <w:left w:val="none" w:sz="0" w:space="0" w:color="auto"/>
                                    <w:bottom w:val="none" w:sz="0" w:space="0" w:color="auto"/>
                                    <w:right w:val="none" w:sz="0" w:space="0" w:color="auto"/>
                                  </w:divBdr>
                                </w:div>
                                <w:div w:id="201287045">
                                  <w:marLeft w:val="0"/>
                                  <w:marRight w:val="0"/>
                                  <w:marTop w:val="0"/>
                                  <w:marBottom w:val="0"/>
                                  <w:divBdr>
                                    <w:top w:val="none" w:sz="0" w:space="0" w:color="auto"/>
                                    <w:left w:val="none" w:sz="0" w:space="0" w:color="auto"/>
                                    <w:bottom w:val="none" w:sz="0" w:space="0" w:color="auto"/>
                                    <w:right w:val="none" w:sz="0" w:space="0" w:color="auto"/>
                                  </w:divBdr>
                                </w:div>
                                <w:div w:id="1284732293">
                                  <w:marLeft w:val="0"/>
                                  <w:marRight w:val="0"/>
                                  <w:marTop w:val="0"/>
                                  <w:marBottom w:val="0"/>
                                  <w:divBdr>
                                    <w:top w:val="none" w:sz="0" w:space="0" w:color="auto"/>
                                    <w:left w:val="none" w:sz="0" w:space="0" w:color="auto"/>
                                    <w:bottom w:val="none" w:sz="0" w:space="0" w:color="auto"/>
                                    <w:right w:val="none" w:sz="0" w:space="0" w:color="auto"/>
                                  </w:divBdr>
                                </w:div>
                                <w:div w:id="670184009">
                                  <w:marLeft w:val="0"/>
                                  <w:marRight w:val="0"/>
                                  <w:marTop w:val="0"/>
                                  <w:marBottom w:val="0"/>
                                  <w:divBdr>
                                    <w:top w:val="none" w:sz="0" w:space="0" w:color="auto"/>
                                    <w:left w:val="none" w:sz="0" w:space="0" w:color="auto"/>
                                    <w:bottom w:val="none" w:sz="0" w:space="0" w:color="auto"/>
                                    <w:right w:val="none" w:sz="0" w:space="0" w:color="auto"/>
                                  </w:divBdr>
                                </w:div>
                                <w:div w:id="778141495">
                                  <w:marLeft w:val="0"/>
                                  <w:marRight w:val="0"/>
                                  <w:marTop w:val="0"/>
                                  <w:marBottom w:val="0"/>
                                  <w:divBdr>
                                    <w:top w:val="none" w:sz="0" w:space="0" w:color="auto"/>
                                    <w:left w:val="none" w:sz="0" w:space="0" w:color="auto"/>
                                    <w:bottom w:val="none" w:sz="0" w:space="0" w:color="auto"/>
                                    <w:right w:val="none" w:sz="0" w:space="0" w:color="auto"/>
                                  </w:divBdr>
                                </w:div>
                                <w:div w:id="502206923">
                                  <w:marLeft w:val="0"/>
                                  <w:marRight w:val="0"/>
                                  <w:marTop w:val="0"/>
                                  <w:marBottom w:val="0"/>
                                  <w:divBdr>
                                    <w:top w:val="none" w:sz="0" w:space="0" w:color="auto"/>
                                    <w:left w:val="none" w:sz="0" w:space="0" w:color="auto"/>
                                    <w:bottom w:val="none" w:sz="0" w:space="0" w:color="auto"/>
                                    <w:right w:val="none" w:sz="0" w:space="0" w:color="auto"/>
                                  </w:divBdr>
                                </w:div>
                                <w:div w:id="562718812">
                                  <w:marLeft w:val="0"/>
                                  <w:marRight w:val="0"/>
                                  <w:marTop w:val="0"/>
                                  <w:marBottom w:val="0"/>
                                  <w:divBdr>
                                    <w:top w:val="none" w:sz="0" w:space="0" w:color="auto"/>
                                    <w:left w:val="none" w:sz="0" w:space="0" w:color="auto"/>
                                    <w:bottom w:val="none" w:sz="0" w:space="0" w:color="auto"/>
                                    <w:right w:val="none" w:sz="0" w:space="0" w:color="auto"/>
                                  </w:divBdr>
                                </w:div>
                                <w:div w:id="747651934">
                                  <w:marLeft w:val="0"/>
                                  <w:marRight w:val="0"/>
                                  <w:marTop w:val="0"/>
                                  <w:marBottom w:val="0"/>
                                  <w:divBdr>
                                    <w:top w:val="none" w:sz="0" w:space="0" w:color="auto"/>
                                    <w:left w:val="none" w:sz="0" w:space="0" w:color="auto"/>
                                    <w:bottom w:val="none" w:sz="0" w:space="0" w:color="auto"/>
                                    <w:right w:val="none" w:sz="0" w:space="0" w:color="auto"/>
                                  </w:divBdr>
                                </w:div>
                                <w:div w:id="272710707">
                                  <w:marLeft w:val="0"/>
                                  <w:marRight w:val="0"/>
                                  <w:marTop w:val="0"/>
                                  <w:marBottom w:val="0"/>
                                  <w:divBdr>
                                    <w:top w:val="none" w:sz="0" w:space="0" w:color="auto"/>
                                    <w:left w:val="none" w:sz="0" w:space="0" w:color="auto"/>
                                    <w:bottom w:val="none" w:sz="0" w:space="0" w:color="auto"/>
                                    <w:right w:val="none" w:sz="0" w:space="0" w:color="auto"/>
                                  </w:divBdr>
                                </w:div>
                                <w:div w:id="101996533">
                                  <w:marLeft w:val="0"/>
                                  <w:marRight w:val="0"/>
                                  <w:marTop w:val="0"/>
                                  <w:marBottom w:val="0"/>
                                  <w:divBdr>
                                    <w:top w:val="none" w:sz="0" w:space="0" w:color="auto"/>
                                    <w:left w:val="none" w:sz="0" w:space="0" w:color="auto"/>
                                    <w:bottom w:val="none" w:sz="0" w:space="0" w:color="auto"/>
                                    <w:right w:val="none" w:sz="0" w:space="0" w:color="auto"/>
                                  </w:divBdr>
                                </w:div>
                                <w:div w:id="1820271211">
                                  <w:marLeft w:val="0"/>
                                  <w:marRight w:val="0"/>
                                  <w:marTop w:val="0"/>
                                  <w:marBottom w:val="0"/>
                                  <w:divBdr>
                                    <w:top w:val="none" w:sz="0" w:space="0" w:color="auto"/>
                                    <w:left w:val="none" w:sz="0" w:space="0" w:color="auto"/>
                                    <w:bottom w:val="none" w:sz="0" w:space="0" w:color="auto"/>
                                    <w:right w:val="none" w:sz="0" w:space="0" w:color="auto"/>
                                  </w:divBdr>
                                </w:div>
                                <w:div w:id="2132162631">
                                  <w:marLeft w:val="0"/>
                                  <w:marRight w:val="0"/>
                                  <w:marTop w:val="0"/>
                                  <w:marBottom w:val="0"/>
                                  <w:divBdr>
                                    <w:top w:val="none" w:sz="0" w:space="0" w:color="auto"/>
                                    <w:left w:val="none" w:sz="0" w:space="0" w:color="auto"/>
                                    <w:bottom w:val="none" w:sz="0" w:space="0" w:color="auto"/>
                                    <w:right w:val="none" w:sz="0" w:space="0" w:color="auto"/>
                                  </w:divBdr>
                                </w:div>
                                <w:div w:id="663898080">
                                  <w:marLeft w:val="0"/>
                                  <w:marRight w:val="0"/>
                                  <w:marTop w:val="0"/>
                                  <w:marBottom w:val="0"/>
                                  <w:divBdr>
                                    <w:top w:val="none" w:sz="0" w:space="0" w:color="auto"/>
                                    <w:left w:val="none" w:sz="0" w:space="0" w:color="auto"/>
                                    <w:bottom w:val="none" w:sz="0" w:space="0" w:color="auto"/>
                                    <w:right w:val="none" w:sz="0" w:space="0" w:color="auto"/>
                                  </w:divBdr>
                                </w:div>
                                <w:div w:id="130246526">
                                  <w:marLeft w:val="0"/>
                                  <w:marRight w:val="0"/>
                                  <w:marTop w:val="0"/>
                                  <w:marBottom w:val="0"/>
                                  <w:divBdr>
                                    <w:top w:val="none" w:sz="0" w:space="0" w:color="auto"/>
                                    <w:left w:val="none" w:sz="0" w:space="0" w:color="auto"/>
                                    <w:bottom w:val="none" w:sz="0" w:space="0" w:color="auto"/>
                                    <w:right w:val="none" w:sz="0" w:space="0" w:color="auto"/>
                                  </w:divBdr>
                                </w:div>
                                <w:div w:id="1653949917">
                                  <w:marLeft w:val="0"/>
                                  <w:marRight w:val="0"/>
                                  <w:marTop w:val="0"/>
                                  <w:marBottom w:val="0"/>
                                  <w:divBdr>
                                    <w:top w:val="none" w:sz="0" w:space="0" w:color="auto"/>
                                    <w:left w:val="none" w:sz="0" w:space="0" w:color="auto"/>
                                    <w:bottom w:val="none" w:sz="0" w:space="0" w:color="auto"/>
                                    <w:right w:val="none" w:sz="0" w:space="0" w:color="auto"/>
                                  </w:divBdr>
                                </w:div>
                                <w:div w:id="1033728104">
                                  <w:marLeft w:val="0"/>
                                  <w:marRight w:val="0"/>
                                  <w:marTop w:val="0"/>
                                  <w:marBottom w:val="0"/>
                                  <w:divBdr>
                                    <w:top w:val="none" w:sz="0" w:space="0" w:color="auto"/>
                                    <w:left w:val="none" w:sz="0" w:space="0" w:color="auto"/>
                                    <w:bottom w:val="none" w:sz="0" w:space="0" w:color="auto"/>
                                    <w:right w:val="none" w:sz="0" w:space="0" w:color="auto"/>
                                  </w:divBdr>
                                </w:div>
                                <w:div w:id="2107529496">
                                  <w:marLeft w:val="0"/>
                                  <w:marRight w:val="0"/>
                                  <w:marTop w:val="0"/>
                                  <w:marBottom w:val="0"/>
                                  <w:divBdr>
                                    <w:top w:val="none" w:sz="0" w:space="0" w:color="auto"/>
                                    <w:left w:val="none" w:sz="0" w:space="0" w:color="auto"/>
                                    <w:bottom w:val="none" w:sz="0" w:space="0" w:color="auto"/>
                                    <w:right w:val="none" w:sz="0" w:space="0" w:color="auto"/>
                                  </w:divBdr>
                                </w:div>
                                <w:div w:id="127826761">
                                  <w:marLeft w:val="0"/>
                                  <w:marRight w:val="0"/>
                                  <w:marTop w:val="0"/>
                                  <w:marBottom w:val="0"/>
                                  <w:divBdr>
                                    <w:top w:val="none" w:sz="0" w:space="0" w:color="auto"/>
                                    <w:left w:val="none" w:sz="0" w:space="0" w:color="auto"/>
                                    <w:bottom w:val="none" w:sz="0" w:space="0" w:color="auto"/>
                                    <w:right w:val="none" w:sz="0" w:space="0" w:color="auto"/>
                                  </w:divBdr>
                                </w:div>
                                <w:div w:id="975716587">
                                  <w:marLeft w:val="0"/>
                                  <w:marRight w:val="0"/>
                                  <w:marTop w:val="0"/>
                                  <w:marBottom w:val="0"/>
                                  <w:divBdr>
                                    <w:top w:val="none" w:sz="0" w:space="0" w:color="auto"/>
                                    <w:left w:val="none" w:sz="0" w:space="0" w:color="auto"/>
                                    <w:bottom w:val="none" w:sz="0" w:space="0" w:color="auto"/>
                                    <w:right w:val="none" w:sz="0" w:space="0" w:color="auto"/>
                                  </w:divBdr>
                                </w:div>
                                <w:div w:id="539902119">
                                  <w:marLeft w:val="0"/>
                                  <w:marRight w:val="0"/>
                                  <w:marTop w:val="0"/>
                                  <w:marBottom w:val="0"/>
                                  <w:divBdr>
                                    <w:top w:val="none" w:sz="0" w:space="0" w:color="auto"/>
                                    <w:left w:val="none" w:sz="0" w:space="0" w:color="auto"/>
                                    <w:bottom w:val="none" w:sz="0" w:space="0" w:color="auto"/>
                                    <w:right w:val="none" w:sz="0" w:space="0" w:color="auto"/>
                                  </w:divBdr>
                                </w:div>
                                <w:div w:id="1673221877">
                                  <w:marLeft w:val="0"/>
                                  <w:marRight w:val="0"/>
                                  <w:marTop w:val="0"/>
                                  <w:marBottom w:val="0"/>
                                  <w:divBdr>
                                    <w:top w:val="none" w:sz="0" w:space="0" w:color="auto"/>
                                    <w:left w:val="none" w:sz="0" w:space="0" w:color="auto"/>
                                    <w:bottom w:val="none" w:sz="0" w:space="0" w:color="auto"/>
                                    <w:right w:val="none" w:sz="0" w:space="0" w:color="auto"/>
                                  </w:divBdr>
                                </w:div>
                                <w:div w:id="602108255">
                                  <w:marLeft w:val="0"/>
                                  <w:marRight w:val="0"/>
                                  <w:marTop w:val="0"/>
                                  <w:marBottom w:val="0"/>
                                  <w:divBdr>
                                    <w:top w:val="none" w:sz="0" w:space="0" w:color="auto"/>
                                    <w:left w:val="none" w:sz="0" w:space="0" w:color="auto"/>
                                    <w:bottom w:val="none" w:sz="0" w:space="0" w:color="auto"/>
                                    <w:right w:val="none" w:sz="0" w:space="0" w:color="auto"/>
                                  </w:divBdr>
                                </w:div>
                                <w:div w:id="1623684661">
                                  <w:marLeft w:val="0"/>
                                  <w:marRight w:val="0"/>
                                  <w:marTop w:val="0"/>
                                  <w:marBottom w:val="0"/>
                                  <w:divBdr>
                                    <w:top w:val="none" w:sz="0" w:space="0" w:color="auto"/>
                                    <w:left w:val="none" w:sz="0" w:space="0" w:color="auto"/>
                                    <w:bottom w:val="none" w:sz="0" w:space="0" w:color="auto"/>
                                    <w:right w:val="none" w:sz="0" w:space="0" w:color="auto"/>
                                  </w:divBdr>
                                </w:div>
                                <w:div w:id="2034067002">
                                  <w:marLeft w:val="0"/>
                                  <w:marRight w:val="0"/>
                                  <w:marTop w:val="0"/>
                                  <w:marBottom w:val="0"/>
                                  <w:divBdr>
                                    <w:top w:val="none" w:sz="0" w:space="0" w:color="auto"/>
                                    <w:left w:val="none" w:sz="0" w:space="0" w:color="auto"/>
                                    <w:bottom w:val="none" w:sz="0" w:space="0" w:color="auto"/>
                                    <w:right w:val="none" w:sz="0" w:space="0" w:color="auto"/>
                                  </w:divBdr>
                                </w:div>
                                <w:div w:id="1838885746">
                                  <w:marLeft w:val="0"/>
                                  <w:marRight w:val="0"/>
                                  <w:marTop w:val="0"/>
                                  <w:marBottom w:val="0"/>
                                  <w:divBdr>
                                    <w:top w:val="none" w:sz="0" w:space="0" w:color="auto"/>
                                    <w:left w:val="none" w:sz="0" w:space="0" w:color="auto"/>
                                    <w:bottom w:val="none" w:sz="0" w:space="0" w:color="auto"/>
                                    <w:right w:val="none" w:sz="0" w:space="0" w:color="auto"/>
                                  </w:divBdr>
                                </w:div>
                                <w:div w:id="1075738926">
                                  <w:marLeft w:val="0"/>
                                  <w:marRight w:val="0"/>
                                  <w:marTop w:val="0"/>
                                  <w:marBottom w:val="0"/>
                                  <w:divBdr>
                                    <w:top w:val="none" w:sz="0" w:space="0" w:color="auto"/>
                                    <w:left w:val="none" w:sz="0" w:space="0" w:color="auto"/>
                                    <w:bottom w:val="none" w:sz="0" w:space="0" w:color="auto"/>
                                    <w:right w:val="none" w:sz="0" w:space="0" w:color="auto"/>
                                  </w:divBdr>
                                </w:div>
                                <w:div w:id="2051177842">
                                  <w:marLeft w:val="0"/>
                                  <w:marRight w:val="0"/>
                                  <w:marTop w:val="0"/>
                                  <w:marBottom w:val="0"/>
                                  <w:divBdr>
                                    <w:top w:val="none" w:sz="0" w:space="0" w:color="auto"/>
                                    <w:left w:val="none" w:sz="0" w:space="0" w:color="auto"/>
                                    <w:bottom w:val="none" w:sz="0" w:space="0" w:color="auto"/>
                                    <w:right w:val="none" w:sz="0" w:space="0" w:color="auto"/>
                                  </w:divBdr>
                                </w:div>
                                <w:div w:id="677804900">
                                  <w:marLeft w:val="0"/>
                                  <w:marRight w:val="0"/>
                                  <w:marTop w:val="0"/>
                                  <w:marBottom w:val="0"/>
                                  <w:divBdr>
                                    <w:top w:val="none" w:sz="0" w:space="0" w:color="auto"/>
                                    <w:left w:val="none" w:sz="0" w:space="0" w:color="auto"/>
                                    <w:bottom w:val="none" w:sz="0" w:space="0" w:color="auto"/>
                                    <w:right w:val="none" w:sz="0" w:space="0" w:color="auto"/>
                                  </w:divBdr>
                                </w:div>
                                <w:div w:id="1628198896">
                                  <w:marLeft w:val="0"/>
                                  <w:marRight w:val="0"/>
                                  <w:marTop w:val="0"/>
                                  <w:marBottom w:val="0"/>
                                  <w:divBdr>
                                    <w:top w:val="none" w:sz="0" w:space="0" w:color="auto"/>
                                    <w:left w:val="none" w:sz="0" w:space="0" w:color="auto"/>
                                    <w:bottom w:val="none" w:sz="0" w:space="0" w:color="auto"/>
                                    <w:right w:val="none" w:sz="0" w:space="0" w:color="auto"/>
                                  </w:divBdr>
                                </w:div>
                                <w:div w:id="951744681">
                                  <w:marLeft w:val="0"/>
                                  <w:marRight w:val="0"/>
                                  <w:marTop w:val="0"/>
                                  <w:marBottom w:val="0"/>
                                  <w:divBdr>
                                    <w:top w:val="none" w:sz="0" w:space="0" w:color="auto"/>
                                    <w:left w:val="none" w:sz="0" w:space="0" w:color="auto"/>
                                    <w:bottom w:val="none" w:sz="0" w:space="0" w:color="auto"/>
                                    <w:right w:val="none" w:sz="0" w:space="0" w:color="auto"/>
                                  </w:divBdr>
                                </w:div>
                                <w:div w:id="670717015">
                                  <w:marLeft w:val="0"/>
                                  <w:marRight w:val="0"/>
                                  <w:marTop w:val="0"/>
                                  <w:marBottom w:val="0"/>
                                  <w:divBdr>
                                    <w:top w:val="none" w:sz="0" w:space="0" w:color="auto"/>
                                    <w:left w:val="none" w:sz="0" w:space="0" w:color="auto"/>
                                    <w:bottom w:val="none" w:sz="0" w:space="0" w:color="auto"/>
                                    <w:right w:val="none" w:sz="0" w:space="0" w:color="auto"/>
                                  </w:divBdr>
                                </w:div>
                                <w:div w:id="996227402">
                                  <w:marLeft w:val="0"/>
                                  <w:marRight w:val="0"/>
                                  <w:marTop w:val="0"/>
                                  <w:marBottom w:val="0"/>
                                  <w:divBdr>
                                    <w:top w:val="none" w:sz="0" w:space="0" w:color="auto"/>
                                    <w:left w:val="none" w:sz="0" w:space="0" w:color="auto"/>
                                    <w:bottom w:val="none" w:sz="0" w:space="0" w:color="auto"/>
                                    <w:right w:val="none" w:sz="0" w:space="0" w:color="auto"/>
                                  </w:divBdr>
                                </w:div>
                                <w:div w:id="1619216766">
                                  <w:marLeft w:val="0"/>
                                  <w:marRight w:val="0"/>
                                  <w:marTop w:val="0"/>
                                  <w:marBottom w:val="0"/>
                                  <w:divBdr>
                                    <w:top w:val="none" w:sz="0" w:space="0" w:color="auto"/>
                                    <w:left w:val="none" w:sz="0" w:space="0" w:color="auto"/>
                                    <w:bottom w:val="none" w:sz="0" w:space="0" w:color="auto"/>
                                    <w:right w:val="none" w:sz="0" w:space="0" w:color="auto"/>
                                  </w:divBdr>
                                </w:div>
                                <w:div w:id="356389997">
                                  <w:marLeft w:val="0"/>
                                  <w:marRight w:val="0"/>
                                  <w:marTop w:val="0"/>
                                  <w:marBottom w:val="0"/>
                                  <w:divBdr>
                                    <w:top w:val="none" w:sz="0" w:space="0" w:color="auto"/>
                                    <w:left w:val="none" w:sz="0" w:space="0" w:color="auto"/>
                                    <w:bottom w:val="none" w:sz="0" w:space="0" w:color="auto"/>
                                    <w:right w:val="none" w:sz="0" w:space="0" w:color="auto"/>
                                  </w:divBdr>
                                </w:div>
                                <w:div w:id="363291749">
                                  <w:marLeft w:val="0"/>
                                  <w:marRight w:val="0"/>
                                  <w:marTop w:val="0"/>
                                  <w:marBottom w:val="0"/>
                                  <w:divBdr>
                                    <w:top w:val="none" w:sz="0" w:space="0" w:color="auto"/>
                                    <w:left w:val="none" w:sz="0" w:space="0" w:color="auto"/>
                                    <w:bottom w:val="none" w:sz="0" w:space="0" w:color="auto"/>
                                    <w:right w:val="none" w:sz="0" w:space="0" w:color="auto"/>
                                  </w:divBdr>
                                </w:div>
                                <w:div w:id="777481888">
                                  <w:marLeft w:val="0"/>
                                  <w:marRight w:val="0"/>
                                  <w:marTop w:val="0"/>
                                  <w:marBottom w:val="0"/>
                                  <w:divBdr>
                                    <w:top w:val="none" w:sz="0" w:space="0" w:color="auto"/>
                                    <w:left w:val="none" w:sz="0" w:space="0" w:color="auto"/>
                                    <w:bottom w:val="none" w:sz="0" w:space="0" w:color="auto"/>
                                    <w:right w:val="none" w:sz="0" w:space="0" w:color="auto"/>
                                  </w:divBdr>
                                </w:div>
                                <w:div w:id="398403833">
                                  <w:marLeft w:val="0"/>
                                  <w:marRight w:val="0"/>
                                  <w:marTop w:val="0"/>
                                  <w:marBottom w:val="0"/>
                                  <w:divBdr>
                                    <w:top w:val="none" w:sz="0" w:space="0" w:color="auto"/>
                                    <w:left w:val="none" w:sz="0" w:space="0" w:color="auto"/>
                                    <w:bottom w:val="none" w:sz="0" w:space="0" w:color="auto"/>
                                    <w:right w:val="none" w:sz="0" w:space="0" w:color="auto"/>
                                  </w:divBdr>
                                </w:div>
                                <w:div w:id="1845170399">
                                  <w:marLeft w:val="0"/>
                                  <w:marRight w:val="0"/>
                                  <w:marTop w:val="0"/>
                                  <w:marBottom w:val="0"/>
                                  <w:divBdr>
                                    <w:top w:val="none" w:sz="0" w:space="0" w:color="auto"/>
                                    <w:left w:val="none" w:sz="0" w:space="0" w:color="auto"/>
                                    <w:bottom w:val="none" w:sz="0" w:space="0" w:color="auto"/>
                                    <w:right w:val="none" w:sz="0" w:space="0" w:color="auto"/>
                                  </w:divBdr>
                                </w:div>
                                <w:div w:id="902106323">
                                  <w:marLeft w:val="0"/>
                                  <w:marRight w:val="0"/>
                                  <w:marTop w:val="0"/>
                                  <w:marBottom w:val="0"/>
                                  <w:divBdr>
                                    <w:top w:val="none" w:sz="0" w:space="0" w:color="auto"/>
                                    <w:left w:val="none" w:sz="0" w:space="0" w:color="auto"/>
                                    <w:bottom w:val="none" w:sz="0" w:space="0" w:color="auto"/>
                                    <w:right w:val="none" w:sz="0" w:space="0" w:color="auto"/>
                                  </w:divBdr>
                                </w:div>
                                <w:div w:id="20110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5675</Words>
  <Characters>32348</Characters>
  <Application>Microsoft Office Word</Application>
  <DocSecurity>0</DocSecurity>
  <Lines>269</Lines>
  <Paragraphs>75</Paragraphs>
  <ScaleCrop>false</ScaleCrop>
  <Company>Sky123.Org</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dc:description/>
  <cp:lastModifiedBy>cao jia</cp:lastModifiedBy>
  <cp:revision>1</cp:revision>
  <dcterms:created xsi:type="dcterms:W3CDTF">2018-01-31T09:47:00Z</dcterms:created>
  <dcterms:modified xsi:type="dcterms:W3CDTF">2022-05-17T02:39:00Z</dcterms:modified>
  <cp:category/>
</cp:coreProperties>
</file>