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49CB" w14:textId="324BF1C4" w:rsidR="00721FBD" w:rsidRPr="00257B15" w:rsidRDefault="00FC3214">
      <w:pPr>
        <w:pStyle w:val="10"/>
        <w:keepNext/>
        <w:keepLines/>
        <w:rPr>
          <w:lang w:val="en-US"/>
        </w:rPr>
      </w:pPr>
      <w:bookmarkStart w:id="0" w:name="bookmark0"/>
      <w:r>
        <w:rPr>
          <w:lang w:val="en"/>
        </w:rPr>
        <w:t>Nanjing Municipal Urban and Rural Construction Commission</w:t>
      </w:r>
      <w:bookmarkEnd w:id="0"/>
    </w:p>
    <w:p w14:paraId="501DD18E" w14:textId="77777777" w:rsidR="00721FBD" w:rsidRPr="00257B15" w:rsidRDefault="00FC3214">
      <w:pPr>
        <w:pStyle w:val="20"/>
        <w:keepNext/>
        <w:keepLines/>
        <w:rPr>
          <w:lang w:val="en-US"/>
        </w:rPr>
      </w:pPr>
      <w:bookmarkStart w:id="1" w:name="bookmark2"/>
      <w:r>
        <w:rPr>
          <w:b/>
          <w:bCs/>
          <w:sz w:val="72"/>
          <w:szCs w:val="72"/>
          <w:lang w:val="en"/>
        </w:rPr>
        <w:t xml:space="preserve"> </w:t>
      </w:r>
      <w:r>
        <w:rPr>
          <w:lang w:val="en"/>
        </w:rPr>
        <w:t>Supplementary Notice on Matters Relating to the Bidding for EPC (General Contractor for Construction) Projects</w:t>
      </w:r>
      <w:bookmarkEnd w:id="1"/>
    </w:p>
    <w:p w14:paraId="22FD0224" w14:textId="77777777" w:rsidR="00721FBD" w:rsidRPr="00257B15" w:rsidRDefault="00FC3214">
      <w:pPr>
        <w:pStyle w:val="11"/>
        <w:spacing w:line="1730" w:lineRule="exact"/>
        <w:ind w:firstLine="0"/>
        <w:rPr>
          <w:lang w:val="en-US"/>
        </w:rPr>
      </w:pPr>
      <w:r>
        <w:rPr>
          <w:lang w:val="en"/>
        </w:rPr>
        <w:t>Units:</w:t>
      </w:r>
    </w:p>
    <w:p w14:paraId="5F47D27A" w14:textId="77777777" w:rsidR="00721FBD" w:rsidRPr="00257B15" w:rsidRDefault="00FC3214">
      <w:pPr>
        <w:pStyle w:val="11"/>
        <w:spacing w:after="80" w:line="1760" w:lineRule="exact"/>
        <w:ind w:firstLine="1460"/>
        <w:jc w:val="both"/>
        <w:rPr>
          <w:lang w:val="en-US"/>
        </w:rPr>
      </w:pPr>
      <w:r>
        <w:rPr>
          <w:lang w:val="en"/>
        </w:rPr>
        <w:t>The notice of EPC project supervision has been issued, and in view of the problems that arise in the bidding process, the provisional supplementary explanation is as follows:</w:t>
      </w:r>
    </w:p>
    <w:p w14:paraId="61628363" w14:textId="77777777" w:rsidR="00721FBD" w:rsidRPr="00257B15" w:rsidRDefault="00FC3214">
      <w:pPr>
        <w:pStyle w:val="11"/>
        <w:spacing w:line="1730" w:lineRule="exact"/>
        <w:ind w:left="1260" w:firstLine="0"/>
        <w:rPr>
          <w:lang w:val="en-US"/>
        </w:rPr>
      </w:pPr>
      <w:r>
        <w:rPr>
          <w:b/>
          <w:bCs/>
          <w:sz w:val="78"/>
          <w:szCs w:val="78"/>
          <w:lang w:val="en"/>
        </w:rPr>
        <w:t>1</w:t>
      </w:r>
      <w:r>
        <w:rPr>
          <w:b/>
          <w:bCs/>
          <w:lang w:val="en"/>
        </w:rPr>
        <w:t>. Selection of qualification review method</w:t>
      </w:r>
    </w:p>
    <w:p w14:paraId="1B574A7A" w14:textId="77777777" w:rsidR="00721FBD" w:rsidRPr="00257B15" w:rsidRDefault="00FC3214">
      <w:pPr>
        <w:pStyle w:val="11"/>
        <w:spacing w:line="1690" w:lineRule="exact"/>
        <w:ind w:firstLine="1460"/>
        <w:jc w:val="both"/>
        <w:rPr>
          <w:lang w:val="en-US"/>
        </w:rPr>
      </w:pPr>
      <w:r>
        <w:rPr>
          <w:lang w:val="en"/>
        </w:rPr>
        <w:t xml:space="preserve">Medium-sized and above projects with complex technology can adopt the pre-qualification method, and the specific requirements can be implemented in accordance with Su Jian Guizi [2017] No. 1 and relevant provincial documents. </w:t>
      </w:r>
    </w:p>
    <w:p w14:paraId="7ED0F82B" w14:textId="77777777" w:rsidR="00721FBD" w:rsidRPr="00257B15" w:rsidRDefault="00FC3214">
      <w:pPr>
        <w:pStyle w:val="11"/>
        <w:spacing w:line="1730" w:lineRule="exact"/>
        <w:ind w:left="1260" w:firstLine="0"/>
        <w:rPr>
          <w:lang w:val="en-US"/>
        </w:rPr>
      </w:pPr>
      <w:r>
        <w:rPr>
          <w:b/>
          <w:bCs/>
          <w:sz w:val="78"/>
          <w:szCs w:val="78"/>
          <w:lang w:val="en"/>
        </w:rPr>
        <w:lastRenderedPageBreak/>
        <w:t>3</w:t>
      </w:r>
      <w:r>
        <w:rPr>
          <w:b/>
          <w:bCs/>
          <w:lang w:val="en"/>
        </w:rPr>
        <w:t>. Setting of bidder qualification conditions</w:t>
      </w:r>
    </w:p>
    <w:p w14:paraId="31CD7F42" w14:textId="77777777" w:rsidR="00721FBD" w:rsidRPr="00257B15" w:rsidRDefault="00FC3214">
      <w:pPr>
        <w:pStyle w:val="11"/>
        <w:spacing w:line="1725" w:lineRule="exact"/>
        <w:ind w:firstLine="1460"/>
        <w:jc w:val="both"/>
        <w:rPr>
          <w:lang w:val="en-US"/>
        </w:rPr>
      </w:pPr>
      <w:r>
        <w:rPr>
          <w:lang w:val="en"/>
        </w:rPr>
        <w:t xml:space="preserve">Medium-sized and above projects can put forward engineering performance requirements for bidders, and the number of similar engineering experience (performance) settings is limited to 1 (design and construction can be set separately), and the time range shall not be less than 3 years (calculated backwards from the date of release of the bidding announcement). </w:t>
      </w:r>
    </w:p>
    <w:p w14:paraId="3397E7B6" w14:textId="77777777" w:rsidR="00721FBD" w:rsidRPr="00257B15" w:rsidRDefault="00FC3214">
      <w:pPr>
        <w:pStyle w:val="11"/>
        <w:spacing w:line="1730" w:lineRule="exact"/>
        <w:ind w:left="1260" w:firstLine="0"/>
        <w:rPr>
          <w:lang w:val="en-US"/>
        </w:rPr>
      </w:pPr>
      <w:r>
        <w:rPr>
          <w:b/>
          <w:bCs/>
          <w:sz w:val="78"/>
          <w:szCs w:val="78"/>
          <w:lang w:val="en"/>
        </w:rPr>
        <w:t>3</w:t>
      </w:r>
      <w:r>
        <w:rPr>
          <w:b/>
          <w:bCs/>
          <w:lang w:val="en"/>
        </w:rPr>
        <w:t>. The setting of the judges</w:t>
      </w:r>
    </w:p>
    <w:p w14:paraId="65A0F7B3" w14:textId="77777777" w:rsidR="00721FBD" w:rsidRPr="00257B15" w:rsidRDefault="00FC3214">
      <w:pPr>
        <w:pStyle w:val="11"/>
        <w:spacing w:line="1730" w:lineRule="exact"/>
        <w:ind w:firstLine="1460"/>
        <w:jc w:val="both"/>
        <w:rPr>
          <w:lang w:val="en-US"/>
        </w:rPr>
      </w:pPr>
      <w:r>
        <w:rPr>
          <w:lang w:val="en"/>
        </w:rPr>
        <w:t xml:space="preserve">The bid evaluation committee established by the bidder in accordance with the law shall be responsible. The tender documents should specify the relevant requirements for the selection of judges. </w:t>
      </w:r>
    </w:p>
    <w:p w14:paraId="6B4B6BE9" w14:textId="77777777" w:rsidR="00721FBD" w:rsidRPr="00257B15" w:rsidRDefault="00FC3214">
      <w:pPr>
        <w:pStyle w:val="11"/>
        <w:spacing w:after="40" w:line="1730" w:lineRule="exact"/>
        <w:ind w:firstLine="1460"/>
        <w:jc w:val="both"/>
        <w:rPr>
          <w:lang w:val="en-US"/>
        </w:rPr>
      </w:pPr>
      <w:r>
        <w:rPr>
          <w:lang w:val="en"/>
        </w:rPr>
        <w:t xml:space="preserve">The number of medium-sized and above project bid evaluation committees shall be an odd number of not less than 9 people. Among them, the experts who review the economic targets shall not be less than 2, and the experts who review the technical targets shall not be less than 6 (the design major shall not be less than 3 people, and the construction major shall not be less than 3 people). </w:t>
      </w:r>
    </w:p>
    <w:p w14:paraId="4777BA56" w14:textId="77777777" w:rsidR="00721FBD" w:rsidRPr="00257B15" w:rsidRDefault="00FC3214">
      <w:pPr>
        <w:pStyle w:val="11"/>
        <w:spacing w:line="1730" w:lineRule="exact"/>
        <w:ind w:firstLine="1480"/>
        <w:jc w:val="both"/>
        <w:rPr>
          <w:lang w:val="en-US"/>
        </w:rPr>
      </w:pPr>
      <w:r>
        <w:rPr>
          <w:lang w:val="en"/>
        </w:rPr>
        <w:t>The number of small-scale project bid evaluation committees shall be an odd number of not less than 7 members. Among them, there shall be no less than 2 experts in the appraisal of economic targets, and no less than 4 experts in the appraisal of technical targets (not less than 2 in the design profession and not less than 2 in the construction profession).</w:t>
      </w:r>
    </w:p>
    <w:p w14:paraId="57345646" w14:textId="77777777" w:rsidR="00721FBD" w:rsidRPr="00257B15" w:rsidRDefault="00FC3214">
      <w:pPr>
        <w:pStyle w:val="11"/>
        <w:spacing w:line="1780" w:lineRule="exact"/>
        <w:ind w:firstLine="1480"/>
        <w:jc w:val="both"/>
        <w:rPr>
          <w:lang w:val="en-US"/>
        </w:rPr>
      </w:pPr>
      <w:r>
        <w:rPr>
          <w:lang w:val="en"/>
        </w:rPr>
        <w:t xml:space="preserve">The bidder appoints a representative to participate in the evaluation of technical bids, and must obtain the relevant intermediate or above professional titles in the engineering category or have the qualification of engineering construction. </w:t>
      </w:r>
    </w:p>
    <w:p w14:paraId="0DDE9DE4" w14:textId="77777777" w:rsidR="00721FBD" w:rsidRPr="00257B15" w:rsidRDefault="00FC3214">
      <w:pPr>
        <w:pStyle w:val="11"/>
        <w:spacing w:after="2880" w:line="1800" w:lineRule="exact"/>
        <w:ind w:firstLine="1480"/>
        <w:jc w:val="both"/>
        <w:rPr>
          <w:lang w:val="en-US"/>
        </w:rPr>
      </w:pPr>
      <w:r>
        <w:rPr>
          <w:lang w:val="en"/>
        </w:rPr>
        <w:t xml:space="preserve">The determination of the above project scale and technical complexity shall be carried out in accordance with the provisions of Su Jian Gui zi [2017] No. 1 document </w:t>
      </w:r>
    </w:p>
    <w:p w14:paraId="305BDADE" w14:textId="26555288" w:rsidR="00721FBD" w:rsidRDefault="00FC3214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EE8427A" wp14:editId="3F4B1544">
            <wp:extent cx="4387850" cy="39433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3878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FBD">
      <w:pgSz w:w="30600" w:h="31680"/>
      <w:pgMar w:top="0" w:right="3846" w:bottom="0" w:left="368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DA66" w14:textId="77777777" w:rsidR="005E7304" w:rsidRDefault="005E7304">
      <w:r>
        <w:rPr>
          <w:lang w:val="en"/>
        </w:rPr>
        <w:separator/>
      </w:r>
    </w:p>
  </w:endnote>
  <w:endnote w:type="continuationSeparator" w:id="0">
    <w:p w14:paraId="0A34F58E" w14:textId="77777777" w:rsidR="005E7304" w:rsidRDefault="005E7304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008B" w14:textId="77777777" w:rsidR="005E7304" w:rsidRDefault="005E7304"/>
  </w:footnote>
  <w:footnote w:type="continuationSeparator" w:id="0">
    <w:p w14:paraId="7D506641" w14:textId="77777777" w:rsidR="005E7304" w:rsidRDefault="005E73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BD"/>
    <w:rsid w:val="00257B15"/>
    <w:rsid w:val="005E7304"/>
    <w:rsid w:val="006C2BCF"/>
    <w:rsid w:val="00721FBD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C2717"/>
  <w15:docId w15:val="{40C36D8D-E5A2-41C7-BF76-7261F92A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#1_"/>
    <w:basedOn w:val="a0"/>
    <w:link w:val="1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C72032"/>
      <w:sz w:val="200"/>
      <w:szCs w:val="200"/>
      <w:u w:val="single"/>
      <w:lang w:val="zh-CN" w:eastAsia="zh-CN" w:bidi="zh-CN"/>
    </w:rPr>
  </w:style>
  <w:style w:type="character" w:customStyle="1" w:styleId="2">
    <w:name w:val="标题 #2_"/>
    <w:basedOn w:val="a0"/>
    <w:link w:val="20"/>
    <w:rPr>
      <w:rFonts w:ascii="宋体" w:eastAsia="宋体" w:hAnsi="宋体" w:cs="宋体"/>
      <w:b w:val="0"/>
      <w:bCs w:val="0"/>
      <w:i w:val="0"/>
      <w:iCs w:val="0"/>
      <w:smallCaps w:val="0"/>
      <w:strike w:val="0"/>
      <w:sz w:val="88"/>
      <w:szCs w:val="88"/>
      <w:u w:val="none"/>
      <w:lang w:val="zh-CN" w:eastAsia="zh-CN" w:bidi="zh-CN"/>
    </w:rPr>
  </w:style>
  <w:style w:type="character" w:customStyle="1" w:styleId="a3">
    <w:name w:val="正文文本_"/>
    <w:basedOn w:val="a0"/>
    <w:link w:val="11"/>
    <w:rPr>
      <w:rFonts w:ascii="宋体" w:eastAsia="宋体" w:hAnsi="宋体" w:cs="宋体"/>
      <w:b w:val="0"/>
      <w:bCs w:val="0"/>
      <w:i w:val="0"/>
      <w:iCs w:val="0"/>
      <w:smallCaps w:val="0"/>
      <w:strike w:val="0"/>
      <w:sz w:val="76"/>
      <w:szCs w:val="76"/>
      <w:u w:val="none"/>
      <w:lang w:val="zh-CN" w:eastAsia="zh-CN" w:bidi="zh-CN"/>
    </w:rPr>
  </w:style>
  <w:style w:type="paragraph" w:customStyle="1" w:styleId="10">
    <w:name w:val="标题 #1"/>
    <w:basedOn w:val="a"/>
    <w:link w:val="1"/>
    <w:pPr>
      <w:spacing w:after="2300"/>
      <w:ind w:hanging="960"/>
      <w:outlineLvl w:val="0"/>
    </w:pPr>
    <w:rPr>
      <w:rFonts w:ascii="宋体" w:eastAsia="宋体" w:hAnsi="宋体" w:cs="宋体"/>
      <w:color w:val="C72032"/>
      <w:sz w:val="200"/>
      <w:szCs w:val="200"/>
      <w:u w:val="single"/>
      <w:lang w:val="zh-CN" w:eastAsia="zh-CN"/>
    </w:rPr>
  </w:style>
  <w:style w:type="paragraph" w:customStyle="1" w:styleId="20">
    <w:name w:val="标题 #2"/>
    <w:basedOn w:val="a"/>
    <w:link w:val="2"/>
    <w:pPr>
      <w:spacing w:after="1700"/>
      <w:ind w:left="1260"/>
      <w:outlineLvl w:val="1"/>
    </w:pPr>
    <w:rPr>
      <w:rFonts w:ascii="宋体" w:eastAsia="宋体" w:hAnsi="宋体" w:cs="宋体"/>
      <w:sz w:val="88"/>
      <w:szCs w:val="88"/>
      <w:lang w:val="zh-CN" w:eastAsia="zh-CN"/>
    </w:rPr>
  </w:style>
  <w:style w:type="paragraph" w:customStyle="1" w:styleId="11">
    <w:name w:val="正文文本1"/>
    <w:basedOn w:val="a"/>
    <w:link w:val="a3"/>
    <w:pPr>
      <w:spacing w:line="461" w:lineRule="auto"/>
      <w:ind w:firstLine="400"/>
    </w:pPr>
    <w:rPr>
      <w:rFonts w:ascii="宋体" w:eastAsia="宋体" w:hAnsi="宋体" w:cs="宋体"/>
      <w:sz w:val="76"/>
      <w:szCs w:val="76"/>
      <w:lang w:val="zh-CN" w:eastAsia="zh-CN"/>
    </w:rPr>
  </w:style>
  <w:style w:type="paragraph" w:styleId="a4">
    <w:name w:val="header"/>
    <w:basedOn w:val="a"/>
    <w:link w:val="a5"/>
    <w:uiPriority w:val="99"/>
    <w:unhideWhenUsed/>
    <w:rsid w:val="00FC3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3214"/>
    <w:rPr>
      <w:rFonts w:eastAsia="Courier New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32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3214"/>
    <w:rPr>
      <w:rFonts w:eastAsia="Courier New"/>
      <w:color w:val="000000"/>
      <w:sz w:val="18"/>
      <w:szCs w:val="18"/>
    </w:rPr>
  </w:style>
  <w:style w:type="character" w:styleId="a8">
    <w:name w:val="Placeholder Text"/>
    <w:basedOn w:val="a0"/>
    <w:uiPriority w:val="99"/>
    <w:semiHidden/>
    <w:rsid w:val="00257B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cao</dc:creator>
  <dc:description/>
  <cp:lastModifiedBy>cao jia</cp:lastModifiedBy>
  <cp:revision>1</cp:revision>
  <dcterms:created xsi:type="dcterms:W3CDTF">2022-05-17T06:21:00Z</dcterms:created>
  <dcterms:modified xsi:type="dcterms:W3CDTF">2022-05-17T06:22:00Z</dcterms:modified>
  <cp:category/>
</cp:coreProperties>
</file>