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5" w:rsidRPr="00646E55" w:rsidRDefault="00646E55" w:rsidP="00646E55">
      <w:pPr>
        <w:widowControl/>
        <w:shd w:val="clear" w:color="auto" w:fill="FFFFFF"/>
        <w:spacing w:line="361" w:lineRule="atLeast"/>
        <w:jc w:val="center"/>
        <w:rPr>
          <w:rFonts w:ascii="宋体" w:eastAsia="宋体" w:hAnsi="宋体" w:cs="宋体"/>
          <w:kern w:val="0"/>
          <w:sz w:val="24"/>
          <w:szCs w:val="24"/>
        </w:rPr>
      </w:pPr>
      <w:r w:rsidRPr="00646E55">
        <w:rPr>
          <w:rFonts w:ascii="宋体" w:eastAsia="宋体" w:hAnsi="宋体" w:cs="宋体"/>
          <w:b/>
          <w:bCs/>
          <w:color w:val="333333"/>
          <w:kern w:val="0"/>
          <w:sz w:val="44"/>
          <w:szCs w:val="44"/>
        </w:rPr>
        <w:t>省住房城乡建设厅关于明确我省新建居住区供配电工程招投标管理模式的通知</w:t>
      </w:r>
      <w:r w:rsidRPr="00646E55">
        <w:rPr>
          <w:rFonts w:ascii="宋体" w:eastAsia="宋体" w:hAnsi="宋体" w:cs="宋体"/>
          <w:kern w:val="0"/>
          <w:sz w:val="24"/>
          <w:szCs w:val="24"/>
        </w:rPr>
        <w:t xml:space="preserve"> </w:t>
      </w:r>
    </w:p>
    <w:p w:rsidR="00646E55" w:rsidRPr="00646E55" w:rsidRDefault="00646E55" w:rsidP="00646E55">
      <w:pPr>
        <w:widowControl/>
        <w:shd w:val="clear" w:color="auto" w:fill="FFFFFF"/>
        <w:spacing w:line="800" w:lineRule="atLeast"/>
        <w:jc w:val="center"/>
        <w:rPr>
          <w:rFonts w:ascii="宋体" w:eastAsia="宋体" w:hAnsi="宋体" w:cs="宋体"/>
          <w:kern w:val="0"/>
          <w:sz w:val="24"/>
          <w:szCs w:val="24"/>
        </w:rPr>
      </w:pPr>
      <w:r w:rsidRPr="00646E55">
        <w:rPr>
          <w:rFonts w:ascii="宋体" w:eastAsia="宋体" w:hAnsi="宋体" w:cs="宋体"/>
          <w:color w:val="333333"/>
          <w:kern w:val="0"/>
          <w:sz w:val="32"/>
          <w:szCs w:val="32"/>
        </w:rPr>
        <w:t>苏建函招〔2016〕784号</w:t>
      </w:r>
    </w:p>
    <w:p w:rsidR="00646E55" w:rsidRPr="00646E55" w:rsidRDefault="00646E55" w:rsidP="00646E55">
      <w:pPr>
        <w:widowControl/>
        <w:shd w:val="clear" w:color="auto" w:fill="FFFFFF"/>
        <w:spacing w:line="800" w:lineRule="atLeast"/>
        <w:rPr>
          <w:rFonts w:ascii="宋体" w:eastAsia="宋体" w:hAnsi="宋体" w:cs="宋体"/>
          <w:kern w:val="0"/>
          <w:sz w:val="24"/>
          <w:szCs w:val="24"/>
        </w:rPr>
      </w:pPr>
      <w:r w:rsidRPr="00646E55">
        <w:rPr>
          <w:rFonts w:ascii="宋体" w:eastAsia="宋体" w:hAnsi="宋体" w:cs="宋体"/>
          <w:color w:val="333333"/>
          <w:kern w:val="0"/>
          <w:sz w:val="32"/>
          <w:szCs w:val="32"/>
        </w:rPr>
        <w:t>各设区市住建局 (委)∶</w:t>
      </w:r>
    </w:p>
    <w:p w:rsidR="00646E55" w:rsidRPr="00646E55" w:rsidRDefault="00646E55" w:rsidP="00646E55">
      <w:pPr>
        <w:widowControl/>
        <w:shd w:val="clear" w:color="auto" w:fill="FFFFFF"/>
        <w:spacing w:line="600"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为进一步规范我省新建居住区室外供配电设施工程(以下简称“居配工程”)招投标管理,根据省政府2016年7月29日专题会议纪要精神,经商国家电网江苏省电力公司,现对居配工程招投标管理模式进行调整,有关事项通知如下：</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b/>
          <w:bCs/>
          <w:color w:val="333333"/>
          <w:kern w:val="0"/>
          <w:sz w:val="32"/>
          <w:szCs w:val="32"/>
        </w:rPr>
        <w:t>一、居配工程招标范围</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居配工程是一项民生工程,直接关系到社会公共利益,根据《江苏省物业管理条例》的规定,新建居住区的供配电设施建设完成后应移交给供电公司进行管理。依据《中华人民共和国招标投标法》等相关规定,居配工程项目的设计、监理、施工和重要材料设备采购应采取公开招标方式确定承包人或供应商。其招标的规模标准执行《江苏省工程建设项招招标范围和规模标准规定》(苏政发（2004）48号)。</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b/>
          <w:bCs/>
          <w:color w:val="333333"/>
          <w:kern w:val="0"/>
          <w:sz w:val="32"/>
          <w:szCs w:val="32"/>
        </w:rPr>
        <w:t>二 、居配工程招标组织</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房产开发单位通过协议方式委托设区市供电公司组织建设的居配工程项目,由各设区市供电公司作为项目建设单位具体组织招标活动。</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lastRenderedPageBreak/>
        <w:t>房产开发单位自行组织建设的居配工程项目,由各房地产开发单位作为项目建设单位具体组织招标活动。</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b/>
          <w:bCs/>
          <w:color w:val="333333"/>
          <w:kern w:val="0"/>
          <w:sz w:val="32"/>
          <w:szCs w:val="32"/>
        </w:rPr>
        <w:t>三 、居配工程招投标管理</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w:t>
      </w:r>
      <w:proofErr w:type="gramStart"/>
      <w:r w:rsidRPr="00646E55">
        <w:rPr>
          <w:rFonts w:ascii="宋体" w:eastAsia="宋体" w:hAnsi="宋体" w:cs="宋体"/>
          <w:color w:val="333333"/>
          <w:kern w:val="0"/>
          <w:sz w:val="32"/>
          <w:szCs w:val="32"/>
        </w:rPr>
        <w:t>一</w:t>
      </w:r>
      <w:proofErr w:type="gramEnd"/>
      <w:r w:rsidRPr="00646E55">
        <w:rPr>
          <w:rFonts w:ascii="宋体" w:eastAsia="宋体" w:hAnsi="宋体" w:cs="宋体"/>
          <w:color w:val="333333"/>
          <w:kern w:val="0"/>
          <w:sz w:val="32"/>
          <w:szCs w:val="32"/>
        </w:rPr>
        <w:t>)各设区市供电公司作为项目建设单位组织招标的,其招投标活动由项目所在地设区市招投标监管机构负责监管,进入项目所在地设区市公共资源交易中心完成承发包活动。</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居配工程的招标投标执行国家、省有关房屋建筑和市政基础设施工程招标投标相关法规和规定。其中设计、重要材料设备招标以及限额以下的施工、监理招标可按照《省住屠和城乡建设厅关于开展房屋建筑和市政基础设施工程招标投标改革试点工作的通知》(苏建招〔2016〕260号)要求,试行“预选招标”。</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二)由房产开发单位作为项目建设单位组织招标的,房产开发单位可以自行组织招标或委托具备相应资质的招标代理机构代理招标。按照属地管理原则,其招投标活动由项目所在地市(县、区)招投标监管机构负责监管,进入项目所在地市(县、区)公共资源交易中心完成承发包活动。</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对于限额以下的项目,各房产开发单位可以自行发包给符合相应资格条件的承包人或供应商。</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b/>
          <w:bCs/>
          <w:color w:val="333333"/>
          <w:kern w:val="0"/>
          <w:sz w:val="32"/>
          <w:szCs w:val="32"/>
        </w:rPr>
        <w:t>四、其他</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lastRenderedPageBreak/>
        <w:t>(</w:t>
      </w:r>
      <w:proofErr w:type="gramStart"/>
      <w:r w:rsidRPr="00646E55">
        <w:rPr>
          <w:rFonts w:ascii="宋体" w:eastAsia="宋体" w:hAnsi="宋体" w:cs="宋体"/>
          <w:color w:val="333333"/>
          <w:kern w:val="0"/>
          <w:sz w:val="32"/>
          <w:szCs w:val="32"/>
        </w:rPr>
        <w:t>一</w:t>
      </w:r>
      <w:proofErr w:type="gramEnd"/>
      <w:r w:rsidRPr="00646E55">
        <w:rPr>
          <w:rFonts w:ascii="宋体" w:eastAsia="宋体" w:hAnsi="宋体" w:cs="宋体"/>
          <w:color w:val="333333"/>
          <w:kern w:val="0"/>
          <w:sz w:val="32"/>
          <w:szCs w:val="32"/>
        </w:rPr>
        <w:t>)</w:t>
      </w:r>
      <w:proofErr w:type="gramStart"/>
      <w:r w:rsidRPr="00646E55">
        <w:rPr>
          <w:rFonts w:ascii="宋体" w:eastAsia="宋体" w:hAnsi="宋体" w:cs="宋体"/>
          <w:color w:val="333333"/>
          <w:kern w:val="0"/>
          <w:sz w:val="32"/>
          <w:szCs w:val="32"/>
        </w:rPr>
        <w:t>居配工程</w:t>
      </w:r>
      <w:proofErr w:type="gramEnd"/>
      <w:r w:rsidRPr="00646E55">
        <w:rPr>
          <w:rFonts w:ascii="宋体" w:eastAsia="宋体" w:hAnsi="宋体" w:cs="宋体"/>
          <w:color w:val="333333"/>
          <w:kern w:val="0"/>
          <w:sz w:val="32"/>
          <w:szCs w:val="32"/>
        </w:rPr>
        <w:t>招投标项目登记按照该居住小区建设时的立项批文编号。若招标人组织多个小区项目集中批量招标时,则招标人</w:t>
      </w:r>
      <w:proofErr w:type="gramStart"/>
      <w:r w:rsidRPr="00646E55">
        <w:rPr>
          <w:rFonts w:ascii="宋体" w:eastAsia="宋体" w:hAnsi="宋体" w:cs="宋体"/>
          <w:color w:val="333333"/>
          <w:kern w:val="0"/>
          <w:sz w:val="32"/>
          <w:szCs w:val="32"/>
        </w:rPr>
        <w:t>需向招投标</w:t>
      </w:r>
      <w:proofErr w:type="gramEnd"/>
      <w:r w:rsidRPr="00646E55">
        <w:rPr>
          <w:rFonts w:ascii="宋体" w:eastAsia="宋体" w:hAnsi="宋体" w:cs="宋体"/>
          <w:color w:val="333333"/>
          <w:kern w:val="0"/>
          <w:sz w:val="32"/>
          <w:szCs w:val="32"/>
        </w:rPr>
        <w:t>监管机构出具该批项目的招标申请作为此次招标的立项批文,招标申请文号作为项目编号。内容包含批量招标的内容,各标段(小区)的立项批文</w:t>
      </w:r>
      <w:proofErr w:type="gramStart"/>
      <w:r w:rsidRPr="00646E55">
        <w:rPr>
          <w:rFonts w:ascii="宋体" w:eastAsia="宋体" w:hAnsi="宋体" w:cs="宋体"/>
          <w:color w:val="333333"/>
          <w:kern w:val="0"/>
          <w:sz w:val="32"/>
          <w:szCs w:val="32"/>
        </w:rPr>
        <w:t>文</w:t>
      </w:r>
      <w:proofErr w:type="gramEnd"/>
      <w:r w:rsidRPr="00646E55">
        <w:rPr>
          <w:rFonts w:ascii="宋体" w:eastAsia="宋体" w:hAnsi="宋体" w:cs="宋体"/>
          <w:color w:val="333333"/>
          <w:kern w:val="0"/>
          <w:sz w:val="32"/>
          <w:szCs w:val="32"/>
        </w:rPr>
        <w:t>号、标段估算价和居配工程投资总额,同时将该批居住小区建设时的立项批文等作为招标申请的附件材料。</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(二)居配工程是由国家电网江苏省电力公司管理的民生工程,各地住建局(委）、招投标监管机构、公共资源交易中心(建设工程交易中心)要积极配合,热情服务,加强监管,确保居配工程招标投标工作顺利实施。</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(三)其他未尽事宜按照国家、省招标投标有关规定执行。</w:t>
      </w:r>
    </w:p>
    <w:p w:rsidR="00646E55" w:rsidRPr="00646E55" w:rsidRDefault="00646E55" w:rsidP="00646E55">
      <w:pPr>
        <w:widowControl/>
        <w:shd w:val="clear" w:color="auto" w:fill="FFFFFF"/>
        <w:spacing w:line="361" w:lineRule="atLeast"/>
        <w:ind w:firstLine="480"/>
        <w:rPr>
          <w:rFonts w:ascii="宋体" w:eastAsia="宋体" w:hAnsi="宋体" w:cs="宋体"/>
          <w:kern w:val="0"/>
          <w:sz w:val="24"/>
          <w:szCs w:val="24"/>
        </w:rPr>
      </w:pPr>
      <w:r w:rsidRPr="00646E55">
        <w:rPr>
          <w:rFonts w:ascii="宋体" w:eastAsia="宋体" w:hAnsi="宋体" w:cs="宋体"/>
          <w:color w:val="333333"/>
          <w:kern w:val="0"/>
          <w:sz w:val="32"/>
          <w:szCs w:val="32"/>
        </w:rPr>
        <w:t>江苏省住房和城乡建设厅</w:t>
      </w:r>
    </w:p>
    <w:p w:rsidR="00646E55" w:rsidRDefault="00646E55" w:rsidP="00646E55">
      <w:pPr>
        <w:widowControl/>
        <w:shd w:val="clear" w:color="auto" w:fill="FFFFFF"/>
        <w:spacing w:line="361" w:lineRule="atLeast"/>
        <w:ind w:firstLine="480"/>
        <w:jc w:val="right"/>
        <w:rPr>
          <w:rFonts w:ascii="宋体" w:eastAsia="宋体" w:hAnsi="宋体" w:cs="宋体" w:hint="eastAsia"/>
          <w:color w:val="333333"/>
          <w:kern w:val="0"/>
          <w:sz w:val="32"/>
          <w:szCs w:val="32"/>
        </w:rPr>
      </w:pPr>
    </w:p>
    <w:p w:rsidR="00646E55" w:rsidRDefault="00646E55" w:rsidP="00646E55">
      <w:pPr>
        <w:widowControl/>
        <w:shd w:val="clear" w:color="auto" w:fill="FFFFFF"/>
        <w:spacing w:line="361" w:lineRule="atLeast"/>
        <w:ind w:firstLine="480"/>
        <w:jc w:val="right"/>
        <w:rPr>
          <w:rFonts w:ascii="宋体" w:eastAsia="宋体" w:hAnsi="宋体" w:cs="宋体" w:hint="eastAsia"/>
          <w:color w:val="333333"/>
          <w:kern w:val="0"/>
          <w:sz w:val="32"/>
          <w:szCs w:val="32"/>
        </w:rPr>
      </w:pPr>
    </w:p>
    <w:p w:rsidR="00646E55" w:rsidRPr="00646E55" w:rsidRDefault="00646E55" w:rsidP="00646E55">
      <w:pPr>
        <w:widowControl/>
        <w:shd w:val="clear" w:color="auto" w:fill="FFFFFF"/>
        <w:spacing w:line="361" w:lineRule="atLeast"/>
        <w:ind w:firstLine="480"/>
        <w:jc w:val="right"/>
        <w:rPr>
          <w:rFonts w:ascii="宋体" w:eastAsia="宋体" w:hAnsi="宋体" w:cs="宋体"/>
          <w:kern w:val="0"/>
          <w:sz w:val="24"/>
          <w:szCs w:val="24"/>
        </w:rPr>
      </w:pPr>
      <w:r w:rsidRPr="00646E55">
        <w:rPr>
          <w:rFonts w:ascii="宋体" w:eastAsia="宋体" w:hAnsi="宋体" w:cs="宋体"/>
          <w:color w:val="333333"/>
          <w:kern w:val="0"/>
          <w:sz w:val="32"/>
          <w:szCs w:val="32"/>
        </w:rPr>
        <w:t>2016年10月31日</w:t>
      </w:r>
    </w:p>
    <w:p w:rsidR="00CC08FB" w:rsidRDefault="00CC08FB"/>
    <w:sectPr w:rsidR="00CC08FB" w:rsidSect="00CC0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E55"/>
    <w:rsid w:val="00646E55"/>
    <w:rsid w:val="00A33216"/>
    <w:rsid w:val="00CC0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F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916187">
      <w:bodyDiv w:val="1"/>
      <w:marLeft w:val="0"/>
      <w:marRight w:val="0"/>
      <w:marTop w:val="0"/>
      <w:marBottom w:val="0"/>
      <w:divBdr>
        <w:top w:val="none" w:sz="0" w:space="0" w:color="auto"/>
        <w:left w:val="none" w:sz="0" w:space="0" w:color="auto"/>
        <w:bottom w:val="none" w:sz="0" w:space="0" w:color="auto"/>
        <w:right w:val="none" w:sz="0" w:space="0" w:color="auto"/>
      </w:divBdr>
      <w:divsChild>
        <w:div w:id="869802612">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sChild>
                <w:div w:id="1805393539">
                  <w:marLeft w:val="0"/>
                  <w:marRight w:val="0"/>
                  <w:marTop w:val="0"/>
                  <w:marBottom w:val="0"/>
                  <w:divBdr>
                    <w:top w:val="none" w:sz="0" w:space="0" w:color="auto"/>
                    <w:left w:val="none" w:sz="0" w:space="0" w:color="auto"/>
                    <w:bottom w:val="none" w:sz="0" w:space="0" w:color="auto"/>
                    <w:right w:val="none" w:sz="0" w:space="0" w:color="auto"/>
                  </w:divBdr>
                  <w:divsChild>
                    <w:div w:id="1711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1035</Characters>
  <Application>Microsoft Office Word</Application>
  <DocSecurity>0</DocSecurity>
  <Lines>8</Lines>
  <Paragraphs>2</Paragraphs>
  <ScaleCrop>false</ScaleCrop>
  <Company>Sky123.Org</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2018-05-23T03:50:00Z</dcterms:created>
  <dcterms:modified xsi:type="dcterms:W3CDTF">2018-05-23T03:51:00Z</dcterms:modified>
</cp:coreProperties>
</file>